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9A30F">
      <w:pPr>
        <w:spacing w:line="640" w:lineRule="exact"/>
        <w:jc w:val="center"/>
        <w:rPr>
          <w:rFonts w:hint="eastAsia" w:ascii="方正小标宋简体" w:hAnsi="方正小标宋简体" w:eastAsia="方正小标宋简体" w:cs="方正小标宋简体"/>
          <w:sz w:val="44"/>
          <w:szCs w:val="44"/>
        </w:rPr>
      </w:pPr>
      <w:bookmarkStart w:id="183" w:name="_GoBack"/>
      <w:bookmarkEnd w:id="183"/>
    </w:p>
    <w:p w14:paraId="5CE96DA3">
      <w:pPr>
        <w:spacing w:line="700" w:lineRule="exact"/>
        <w:jc w:val="center"/>
        <w:rPr>
          <w:rFonts w:hint="eastAsia" w:ascii="方正小标宋简体" w:hAnsi="方正小标宋简体" w:eastAsia="方正小标宋简体" w:cs="方正小标宋简体"/>
          <w:sz w:val="44"/>
          <w:szCs w:val="44"/>
        </w:rPr>
      </w:pPr>
      <w:r>
        <w:rPr>
          <w:rFonts w:ascii="Times New Roman" w:hAnsi="Times New Roman" w:eastAsia="方正小标宋简体"/>
          <w:sz w:val="44"/>
          <w:szCs w:val="44"/>
        </w:rPr>
        <w:t>2025</w:t>
      </w:r>
      <w:r>
        <w:rPr>
          <w:rFonts w:hint="eastAsia" w:ascii="方正小标宋简体" w:hAnsi="方正小标宋简体" w:eastAsia="方正小标宋简体" w:cs="方正小标宋简体"/>
          <w:sz w:val="44"/>
          <w:szCs w:val="44"/>
        </w:rPr>
        <w:t>年南宁市职工职业技能大赛一类赛决赛</w:t>
      </w:r>
    </w:p>
    <w:p w14:paraId="4DFAD36C">
      <w:pPr>
        <w:spacing w:line="7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互联网营销师赛项</w:t>
      </w:r>
    </w:p>
    <w:p w14:paraId="7EE029A4">
      <w:pPr>
        <w:pStyle w:val="3"/>
        <w:rPr>
          <w:rFonts w:hint="eastAsia"/>
          <w:lang w:val="en-US"/>
        </w:rPr>
      </w:pPr>
    </w:p>
    <w:p w14:paraId="51CF33F8"/>
    <w:p w14:paraId="2CA9B700">
      <w:pPr>
        <w:spacing w:line="6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技</w:t>
      </w:r>
    </w:p>
    <w:p w14:paraId="4BBE42E3">
      <w:pPr>
        <w:pStyle w:val="3"/>
        <w:rPr>
          <w:rFonts w:hint="eastAsia"/>
        </w:rPr>
      </w:pPr>
    </w:p>
    <w:p w14:paraId="61EE72BC">
      <w:pPr>
        <w:spacing w:line="6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术</w:t>
      </w:r>
    </w:p>
    <w:p w14:paraId="3DC5F371">
      <w:pPr>
        <w:pStyle w:val="3"/>
        <w:rPr>
          <w:rFonts w:hint="eastAsia"/>
        </w:rPr>
      </w:pPr>
    </w:p>
    <w:p w14:paraId="1777775B">
      <w:pPr>
        <w:spacing w:line="6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文</w:t>
      </w:r>
    </w:p>
    <w:p w14:paraId="760FD999">
      <w:pPr>
        <w:pStyle w:val="3"/>
        <w:rPr>
          <w:rFonts w:hint="eastAsia"/>
        </w:rPr>
      </w:pPr>
    </w:p>
    <w:p w14:paraId="2EF0D009">
      <w:pPr>
        <w:spacing w:line="6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件</w:t>
      </w:r>
    </w:p>
    <w:p w14:paraId="6769C5F4">
      <w:pPr>
        <w:rPr>
          <w:rFonts w:hint="eastAsia" w:ascii="华文中宋" w:hAnsi="华文中宋" w:eastAsia="华文中宋"/>
          <w:b/>
          <w:sz w:val="44"/>
          <w:szCs w:val="44"/>
          <w:lang w:val="en-AU"/>
        </w:rPr>
      </w:pPr>
    </w:p>
    <w:p w14:paraId="5FDC15ED">
      <w:pPr>
        <w:pStyle w:val="13"/>
        <w:rPr>
          <w:rFonts w:hint="eastAsia" w:ascii="微软雅黑" w:hAnsi="微软雅黑" w:eastAsia="微软雅黑" w:cs="微软雅黑"/>
          <w:lang w:eastAsia="zh-CN"/>
        </w:rPr>
      </w:pPr>
    </w:p>
    <w:p w14:paraId="194221B5">
      <w:pPr>
        <w:rPr>
          <w:rFonts w:ascii="Frutiger LT Com 45 Light" w:hAnsi="Frutiger LT Com 45 Light"/>
          <w:lang w:val="en-AU"/>
        </w:rPr>
      </w:pPr>
    </w:p>
    <w:p w14:paraId="1913D2DB">
      <w:pPr>
        <w:rPr>
          <w:lang w:val="en-AU"/>
        </w:rPr>
      </w:pPr>
    </w:p>
    <w:p w14:paraId="288CD495">
      <w:pPr>
        <w:rPr>
          <w:lang w:val="en-AU"/>
        </w:rPr>
      </w:pPr>
    </w:p>
    <w:p w14:paraId="58197AFB">
      <w:pPr>
        <w:spacing w:line="560" w:lineRule="exact"/>
        <w:jc w:val="center"/>
        <w:rPr>
          <w:rFonts w:hint="eastAsia" w:ascii="黑体" w:hAnsi="黑体" w:eastAsia="黑体" w:cs="黑体"/>
          <w:sz w:val="32"/>
          <w:szCs w:val="32"/>
        </w:rPr>
      </w:pPr>
    </w:p>
    <w:p w14:paraId="648FDC21">
      <w:pPr>
        <w:spacing w:line="560" w:lineRule="exact"/>
        <w:jc w:val="center"/>
        <w:rPr>
          <w:rFonts w:hint="eastAsia" w:ascii="黑体" w:hAnsi="黑体" w:eastAsia="黑体" w:cs="黑体"/>
          <w:sz w:val="32"/>
          <w:szCs w:val="32"/>
        </w:rPr>
      </w:pPr>
    </w:p>
    <w:p w14:paraId="7DFCBBDF">
      <w:pPr>
        <w:spacing w:line="560" w:lineRule="exact"/>
        <w:jc w:val="center"/>
        <w:rPr>
          <w:rFonts w:hint="eastAsia" w:ascii="黑体" w:hAnsi="黑体" w:eastAsia="黑体" w:cs="黑体"/>
          <w:sz w:val="32"/>
          <w:szCs w:val="32"/>
        </w:rPr>
      </w:pPr>
    </w:p>
    <w:p w14:paraId="63C04AB4">
      <w:pPr>
        <w:spacing w:line="560" w:lineRule="exact"/>
        <w:jc w:val="center"/>
        <w:rPr>
          <w:rFonts w:hint="eastAsia" w:ascii="黑体" w:hAnsi="黑体" w:eastAsia="黑体" w:cs="黑体"/>
          <w:sz w:val="32"/>
          <w:szCs w:val="32"/>
        </w:rPr>
      </w:pPr>
    </w:p>
    <w:p w14:paraId="6F7D274C">
      <w:pPr>
        <w:spacing w:line="560" w:lineRule="exact"/>
        <w:jc w:val="center"/>
        <w:rPr>
          <w:rFonts w:hint="eastAsia" w:ascii="方正小标宋简体" w:hAnsi="方正小标宋简体" w:eastAsia="方正小标宋简体" w:cs="方正小标宋简体"/>
          <w:sz w:val="32"/>
          <w:szCs w:val="32"/>
        </w:rPr>
      </w:pPr>
      <w:r>
        <w:rPr>
          <w:rFonts w:ascii="Times New Roman" w:hAnsi="Times New Roman" w:eastAsia="方正小标宋简体"/>
          <w:sz w:val="32"/>
          <w:szCs w:val="32"/>
        </w:rPr>
        <w:t>2025</w:t>
      </w:r>
      <w:r>
        <w:rPr>
          <w:rFonts w:hint="eastAsia" w:ascii="方正小标宋简体" w:hAnsi="方正小标宋简体" w:eastAsia="方正小标宋简体" w:cs="方正小标宋简体"/>
          <w:sz w:val="32"/>
          <w:szCs w:val="32"/>
        </w:rPr>
        <w:t>年南宁市职工职业技能大赛组委会</w:t>
      </w:r>
    </w:p>
    <w:p w14:paraId="618F5DB0">
      <w:pPr>
        <w:spacing w:line="560" w:lineRule="exact"/>
        <w:jc w:val="center"/>
        <w:rPr>
          <w:rFonts w:hint="eastAsia" w:ascii="黑体" w:hAnsi="黑体" w:eastAsia="黑体" w:cs="黑体"/>
          <w:sz w:val="32"/>
          <w:szCs w:val="32"/>
        </w:rPr>
        <w:sectPr>
          <w:footerReference r:id="rId3" w:type="default"/>
          <w:pgSz w:w="11906" w:h="16838"/>
          <w:pgMar w:top="1440" w:right="1588" w:bottom="1440" w:left="1588" w:header="0" w:footer="1304" w:gutter="0"/>
          <w:pgNumType w:fmt="numberInDash"/>
          <w:cols w:space="720" w:num="1"/>
        </w:sectPr>
      </w:pPr>
      <w:r>
        <w:rPr>
          <w:rFonts w:ascii="Times New Roman" w:hAnsi="Times New Roman" w:eastAsia="黑体"/>
          <w:sz w:val="32"/>
          <w:szCs w:val="32"/>
        </w:rPr>
        <w:t>2025</w:t>
      </w:r>
      <w:r>
        <w:rPr>
          <w:rFonts w:hint="eastAsia" w:ascii="黑体" w:hAnsi="黑体" w:eastAsia="黑体" w:cs="黑体"/>
          <w:sz w:val="32"/>
          <w:szCs w:val="32"/>
        </w:rPr>
        <w:t>年</w:t>
      </w:r>
      <w:r>
        <w:rPr>
          <w:rFonts w:ascii="Times New Roman" w:hAnsi="Times New Roman" w:eastAsia="黑体"/>
          <w:sz w:val="32"/>
          <w:szCs w:val="32"/>
        </w:rPr>
        <w:t>7</w:t>
      </w:r>
      <w:r>
        <w:rPr>
          <w:rFonts w:hint="eastAsia" w:ascii="黑体" w:hAnsi="黑体" w:eastAsia="黑体" w:cs="黑体"/>
          <w:sz w:val="32"/>
          <w:szCs w:val="32"/>
        </w:rPr>
        <w:t>月</w:t>
      </w:r>
    </w:p>
    <w:sdt>
      <w:sdtPr>
        <w:rPr>
          <w:rFonts w:hint="eastAsia" w:ascii="宋体" w:hAnsi="宋体" w:cs="宋体"/>
          <w:b/>
          <w:bCs/>
          <w:sz w:val="28"/>
          <w:szCs w:val="28"/>
        </w:rPr>
        <w:id w:val="147482290"/>
        <w15:color w:val="DBDBDB"/>
        <w:docPartObj>
          <w:docPartGallery w:val="Table of Contents"/>
          <w:docPartUnique/>
        </w:docPartObj>
      </w:sdtPr>
      <w:sdtEndPr>
        <w:rPr>
          <w:rFonts w:hint="eastAsia" w:ascii="宋体" w:hAnsi="宋体" w:cs="Times New Roman"/>
          <w:b w:val="0"/>
          <w:bCs w:val="0"/>
          <w:sz w:val="30"/>
          <w:szCs w:val="30"/>
        </w:rPr>
      </w:sdtEndPr>
      <w:sdtContent>
        <w:p w14:paraId="540A1CB3">
          <w:pPr>
            <w:jc w:val="center"/>
            <w:rPr>
              <w:rFonts w:hint="eastAsia" w:ascii="宋体" w:hAnsi="宋体" w:cs="宋体"/>
              <w:b/>
              <w:bCs/>
              <w:sz w:val="44"/>
              <w:szCs w:val="44"/>
            </w:rPr>
          </w:pPr>
          <w:bookmarkStart w:id="0" w:name="_Toc32390"/>
          <w:r>
            <w:rPr>
              <w:rFonts w:hint="eastAsia" w:ascii="方正小标宋简体" w:hAnsi="方正小标宋简体" w:eastAsia="方正小标宋简体" w:cs="方正小标宋简体"/>
              <w:sz w:val="44"/>
              <w:szCs w:val="44"/>
            </w:rPr>
            <w:t>目  录</w:t>
          </w:r>
        </w:p>
        <w:p w14:paraId="0970D344">
          <w:pPr>
            <w:pStyle w:val="11"/>
            <w:tabs>
              <w:tab w:val="right" w:leader="dot" w:pos="8306"/>
            </w:tabs>
            <w:spacing w:line="480" w:lineRule="exact"/>
            <w:rPr>
              <w:sz w:val="32"/>
              <w:szCs w:val="32"/>
            </w:rPr>
          </w:pPr>
          <w:r>
            <w:rPr>
              <w:rFonts w:hint="eastAsia" w:ascii="宋体" w:hAnsi="宋体" w:cs="宋体"/>
              <w:b/>
              <w:sz w:val="32"/>
              <w:szCs w:val="32"/>
            </w:rPr>
            <w:fldChar w:fldCharType="begin"/>
          </w:r>
          <w:r>
            <w:rPr>
              <w:rFonts w:hint="eastAsia" w:ascii="宋体" w:hAnsi="宋体" w:cs="宋体"/>
              <w:b/>
              <w:sz w:val="32"/>
              <w:szCs w:val="32"/>
            </w:rPr>
            <w:instrText xml:space="preserve">TOC \o "1-3" \h \u </w:instrText>
          </w:r>
          <w:r>
            <w:rPr>
              <w:rFonts w:hint="eastAsia" w:ascii="宋体" w:hAnsi="宋体" w:cs="宋体"/>
              <w:b/>
              <w:sz w:val="32"/>
              <w:szCs w:val="32"/>
            </w:rPr>
            <w:fldChar w:fldCharType="separate"/>
          </w:r>
          <w:r>
            <w:fldChar w:fldCharType="begin"/>
          </w:r>
          <w:r>
            <w:instrText xml:space="preserve"> HYPERLINK \l "_Toc15148" </w:instrText>
          </w:r>
          <w:r>
            <w:fldChar w:fldCharType="separate"/>
          </w:r>
          <w:r>
            <w:rPr>
              <w:rFonts w:hint="eastAsia" w:ascii="黑体" w:hAnsi="黑体" w:eastAsia="黑体" w:cs="黑体"/>
              <w:bCs/>
              <w:sz w:val="32"/>
              <w:szCs w:val="32"/>
            </w:rPr>
            <w:t>一、技术描述</w:t>
          </w:r>
          <w:r>
            <w:rPr>
              <w:sz w:val="32"/>
              <w:szCs w:val="32"/>
            </w:rPr>
            <w:tab/>
          </w:r>
          <w:r>
            <w:rPr>
              <w:sz w:val="32"/>
              <w:szCs w:val="32"/>
            </w:rPr>
            <w:fldChar w:fldCharType="begin"/>
          </w:r>
          <w:r>
            <w:rPr>
              <w:sz w:val="32"/>
              <w:szCs w:val="32"/>
            </w:rPr>
            <w:instrText xml:space="preserve"> PAGEREF _Toc15148 \h </w:instrText>
          </w:r>
          <w:r>
            <w:rPr>
              <w:sz w:val="32"/>
              <w:szCs w:val="32"/>
            </w:rPr>
            <w:fldChar w:fldCharType="separate"/>
          </w:r>
          <w:r>
            <w:rPr>
              <w:sz w:val="32"/>
              <w:szCs w:val="32"/>
            </w:rPr>
            <w:t xml:space="preserve">- </w:t>
          </w:r>
          <w:r>
            <w:rPr>
              <w:rFonts w:ascii="Times New Roman" w:hAnsi="Times New Roman"/>
              <w:sz w:val="32"/>
              <w:szCs w:val="32"/>
            </w:rPr>
            <w:t>1</w:t>
          </w:r>
          <w:r>
            <w:rPr>
              <w:sz w:val="32"/>
              <w:szCs w:val="32"/>
            </w:rPr>
            <w:t xml:space="preserve"> -</w:t>
          </w:r>
          <w:r>
            <w:rPr>
              <w:sz w:val="32"/>
              <w:szCs w:val="32"/>
            </w:rPr>
            <w:fldChar w:fldCharType="end"/>
          </w:r>
          <w:r>
            <w:rPr>
              <w:sz w:val="32"/>
              <w:szCs w:val="32"/>
            </w:rPr>
            <w:fldChar w:fldCharType="end"/>
          </w:r>
        </w:p>
        <w:p w14:paraId="24473E8B">
          <w:pPr>
            <w:pStyle w:val="12"/>
            <w:tabs>
              <w:tab w:val="right" w:leader="dot" w:pos="8306"/>
            </w:tabs>
            <w:spacing w:line="480" w:lineRule="exact"/>
            <w:rPr>
              <w:sz w:val="32"/>
              <w:szCs w:val="32"/>
            </w:rPr>
          </w:pPr>
          <w:r>
            <w:fldChar w:fldCharType="begin"/>
          </w:r>
          <w:r>
            <w:instrText xml:space="preserve"> HYPERLINK \l "_Toc9953" </w:instrText>
          </w:r>
          <w:r>
            <w:fldChar w:fldCharType="separate"/>
          </w:r>
          <w:r>
            <w:rPr>
              <w:rFonts w:hint="eastAsia" w:ascii="楷体_GB2312" w:hAnsi="楷体_GB2312" w:eastAsia="楷体_GB2312" w:cs="楷体_GB2312"/>
              <w:bCs/>
              <w:sz w:val="32"/>
              <w:szCs w:val="32"/>
            </w:rPr>
            <w:t>（一）项目概要</w:t>
          </w:r>
          <w:r>
            <w:rPr>
              <w:sz w:val="32"/>
              <w:szCs w:val="32"/>
            </w:rPr>
            <w:tab/>
          </w:r>
          <w:r>
            <w:rPr>
              <w:sz w:val="32"/>
              <w:szCs w:val="32"/>
            </w:rPr>
            <w:fldChar w:fldCharType="begin"/>
          </w:r>
          <w:r>
            <w:rPr>
              <w:sz w:val="32"/>
              <w:szCs w:val="32"/>
            </w:rPr>
            <w:instrText xml:space="preserve"> PAGEREF _Toc9953 \h </w:instrText>
          </w:r>
          <w:r>
            <w:rPr>
              <w:sz w:val="32"/>
              <w:szCs w:val="32"/>
            </w:rPr>
            <w:fldChar w:fldCharType="separate"/>
          </w:r>
          <w:r>
            <w:rPr>
              <w:sz w:val="32"/>
              <w:szCs w:val="32"/>
            </w:rPr>
            <w:t xml:space="preserve">- </w:t>
          </w:r>
          <w:r>
            <w:rPr>
              <w:rFonts w:ascii="Times New Roman" w:hAnsi="Times New Roman"/>
              <w:sz w:val="32"/>
              <w:szCs w:val="32"/>
            </w:rPr>
            <w:t>1</w:t>
          </w:r>
          <w:r>
            <w:rPr>
              <w:sz w:val="32"/>
              <w:szCs w:val="32"/>
            </w:rPr>
            <w:t xml:space="preserve"> -</w:t>
          </w:r>
          <w:r>
            <w:rPr>
              <w:sz w:val="32"/>
              <w:szCs w:val="32"/>
            </w:rPr>
            <w:fldChar w:fldCharType="end"/>
          </w:r>
          <w:r>
            <w:rPr>
              <w:sz w:val="32"/>
              <w:szCs w:val="32"/>
            </w:rPr>
            <w:fldChar w:fldCharType="end"/>
          </w:r>
        </w:p>
        <w:p w14:paraId="7B11D799">
          <w:pPr>
            <w:pStyle w:val="12"/>
            <w:tabs>
              <w:tab w:val="right" w:leader="dot" w:pos="8306"/>
            </w:tabs>
            <w:spacing w:line="480" w:lineRule="exact"/>
            <w:rPr>
              <w:sz w:val="32"/>
              <w:szCs w:val="32"/>
            </w:rPr>
          </w:pPr>
          <w:r>
            <w:fldChar w:fldCharType="begin"/>
          </w:r>
          <w:r>
            <w:instrText xml:space="preserve"> HYPERLINK \l "_Toc1129" </w:instrText>
          </w:r>
          <w:r>
            <w:fldChar w:fldCharType="separate"/>
          </w:r>
          <w:r>
            <w:rPr>
              <w:rFonts w:hint="eastAsia" w:ascii="楷体_GB2312" w:hAnsi="楷体_GB2312" w:eastAsia="楷体_GB2312" w:cs="楷体_GB2312"/>
              <w:bCs/>
              <w:sz w:val="32"/>
              <w:szCs w:val="32"/>
            </w:rPr>
            <w:t>（二）基本知识与能力要求</w:t>
          </w:r>
          <w:r>
            <w:rPr>
              <w:sz w:val="32"/>
              <w:szCs w:val="32"/>
            </w:rPr>
            <w:tab/>
          </w:r>
          <w:r>
            <w:rPr>
              <w:sz w:val="32"/>
              <w:szCs w:val="32"/>
            </w:rPr>
            <w:fldChar w:fldCharType="begin"/>
          </w:r>
          <w:r>
            <w:rPr>
              <w:sz w:val="32"/>
              <w:szCs w:val="32"/>
            </w:rPr>
            <w:instrText xml:space="preserve"> PAGEREF _Toc1129 \h </w:instrText>
          </w:r>
          <w:r>
            <w:rPr>
              <w:sz w:val="32"/>
              <w:szCs w:val="32"/>
            </w:rPr>
            <w:fldChar w:fldCharType="separate"/>
          </w:r>
          <w:r>
            <w:rPr>
              <w:sz w:val="32"/>
              <w:szCs w:val="32"/>
            </w:rPr>
            <w:t xml:space="preserve">- </w:t>
          </w:r>
          <w:r>
            <w:rPr>
              <w:rFonts w:ascii="Times New Roman" w:hAnsi="Times New Roman"/>
              <w:sz w:val="32"/>
              <w:szCs w:val="32"/>
            </w:rPr>
            <w:t>1</w:t>
          </w:r>
          <w:r>
            <w:rPr>
              <w:sz w:val="32"/>
              <w:szCs w:val="32"/>
            </w:rPr>
            <w:t xml:space="preserve"> -</w:t>
          </w:r>
          <w:r>
            <w:rPr>
              <w:sz w:val="32"/>
              <w:szCs w:val="32"/>
            </w:rPr>
            <w:fldChar w:fldCharType="end"/>
          </w:r>
          <w:r>
            <w:rPr>
              <w:sz w:val="32"/>
              <w:szCs w:val="32"/>
            </w:rPr>
            <w:fldChar w:fldCharType="end"/>
          </w:r>
        </w:p>
        <w:p w14:paraId="0A1D2CFA">
          <w:pPr>
            <w:pStyle w:val="12"/>
            <w:tabs>
              <w:tab w:val="right" w:leader="dot" w:pos="8306"/>
            </w:tabs>
            <w:spacing w:line="480" w:lineRule="exact"/>
            <w:rPr>
              <w:sz w:val="32"/>
              <w:szCs w:val="32"/>
            </w:rPr>
          </w:pPr>
          <w:r>
            <w:fldChar w:fldCharType="begin"/>
          </w:r>
          <w:r>
            <w:instrText xml:space="preserve"> HYPERLINK \l "_Toc10055" </w:instrText>
          </w:r>
          <w:r>
            <w:fldChar w:fldCharType="separate"/>
          </w:r>
          <w:r>
            <w:rPr>
              <w:rFonts w:hint="eastAsia" w:ascii="楷体_GB2312" w:hAnsi="楷体_GB2312" w:eastAsia="楷体_GB2312" w:cs="楷体_GB2312"/>
              <w:bCs/>
              <w:sz w:val="32"/>
              <w:szCs w:val="32"/>
            </w:rPr>
            <w:t>（三）竞赛形式与内容</w:t>
          </w:r>
          <w:r>
            <w:rPr>
              <w:sz w:val="32"/>
              <w:szCs w:val="32"/>
            </w:rPr>
            <w:tab/>
          </w:r>
          <w:r>
            <w:rPr>
              <w:sz w:val="32"/>
              <w:szCs w:val="32"/>
            </w:rPr>
            <w:fldChar w:fldCharType="begin"/>
          </w:r>
          <w:r>
            <w:rPr>
              <w:sz w:val="32"/>
              <w:szCs w:val="32"/>
            </w:rPr>
            <w:instrText xml:space="preserve"> PAGEREF _Toc10055 \h </w:instrText>
          </w:r>
          <w:r>
            <w:rPr>
              <w:sz w:val="32"/>
              <w:szCs w:val="32"/>
            </w:rPr>
            <w:fldChar w:fldCharType="separate"/>
          </w:r>
          <w:r>
            <w:rPr>
              <w:sz w:val="32"/>
              <w:szCs w:val="32"/>
            </w:rPr>
            <w:t xml:space="preserve">- </w:t>
          </w:r>
          <w:r>
            <w:rPr>
              <w:rFonts w:ascii="Times New Roman" w:hAnsi="Times New Roman"/>
              <w:sz w:val="32"/>
              <w:szCs w:val="32"/>
            </w:rPr>
            <w:t>2</w:t>
          </w:r>
          <w:r>
            <w:rPr>
              <w:sz w:val="32"/>
              <w:szCs w:val="32"/>
            </w:rPr>
            <w:t xml:space="preserve"> -</w:t>
          </w:r>
          <w:r>
            <w:rPr>
              <w:sz w:val="32"/>
              <w:szCs w:val="32"/>
            </w:rPr>
            <w:fldChar w:fldCharType="end"/>
          </w:r>
          <w:r>
            <w:rPr>
              <w:sz w:val="32"/>
              <w:szCs w:val="32"/>
            </w:rPr>
            <w:fldChar w:fldCharType="end"/>
          </w:r>
        </w:p>
        <w:p w14:paraId="359E485E">
          <w:pPr>
            <w:pStyle w:val="11"/>
            <w:tabs>
              <w:tab w:val="right" w:leader="dot" w:pos="8306"/>
            </w:tabs>
            <w:spacing w:line="480" w:lineRule="exact"/>
            <w:rPr>
              <w:sz w:val="32"/>
              <w:szCs w:val="32"/>
            </w:rPr>
          </w:pPr>
          <w:r>
            <w:fldChar w:fldCharType="begin"/>
          </w:r>
          <w:r>
            <w:instrText xml:space="preserve"> HYPERLINK \l "_Toc29691" </w:instrText>
          </w:r>
          <w:r>
            <w:fldChar w:fldCharType="separate"/>
          </w:r>
          <w:r>
            <w:rPr>
              <w:rFonts w:hint="eastAsia" w:ascii="黑体" w:hAnsi="黑体" w:eastAsia="黑体" w:cs="黑体"/>
              <w:bCs/>
              <w:sz w:val="32"/>
              <w:szCs w:val="32"/>
            </w:rPr>
            <w:t>二、试题样题</w:t>
          </w:r>
          <w:r>
            <w:rPr>
              <w:sz w:val="32"/>
              <w:szCs w:val="32"/>
            </w:rPr>
            <w:tab/>
          </w:r>
          <w:r>
            <w:rPr>
              <w:sz w:val="32"/>
              <w:szCs w:val="32"/>
            </w:rPr>
            <w:fldChar w:fldCharType="begin"/>
          </w:r>
          <w:r>
            <w:rPr>
              <w:sz w:val="32"/>
              <w:szCs w:val="32"/>
            </w:rPr>
            <w:instrText xml:space="preserve"> PAGEREF _Toc29691 \h </w:instrText>
          </w:r>
          <w:r>
            <w:rPr>
              <w:sz w:val="32"/>
              <w:szCs w:val="32"/>
            </w:rPr>
            <w:fldChar w:fldCharType="separate"/>
          </w:r>
          <w:r>
            <w:rPr>
              <w:sz w:val="32"/>
              <w:szCs w:val="32"/>
            </w:rPr>
            <w:t xml:space="preserve">- </w:t>
          </w:r>
          <w:r>
            <w:rPr>
              <w:rFonts w:ascii="Times New Roman" w:hAnsi="Times New Roman"/>
              <w:sz w:val="32"/>
              <w:szCs w:val="32"/>
            </w:rPr>
            <w:t>2</w:t>
          </w:r>
          <w:r>
            <w:rPr>
              <w:sz w:val="32"/>
              <w:szCs w:val="32"/>
            </w:rPr>
            <w:t xml:space="preserve"> -</w:t>
          </w:r>
          <w:r>
            <w:rPr>
              <w:sz w:val="32"/>
              <w:szCs w:val="32"/>
            </w:rPr>
            <w:fldChar w:fldCharType="end"/>
          </w:r>
          <w:r>
            <w:rPr>
              <w:sz w:val="32"/>
              <w:szCs w:val="32"/>
            </w:rPr>
            <w:fldChar w:fldCharType="end"/>
          </w:r>
        </w:p>
        <w:p w14:paraId="73DF02EB">
          <w:pPr>
            <w:pStyle w:val="12"/>
            <w:tabs>
              <w:tab w:val="right" w:leader="dot" w:pos="8306"/>
            </w:tabs>
            <w:spacing w:line="480" w:lineRule="exact"/>
            <w:rPr>
              <w:sz w:val="32"/>
              <w:szCs w:val="32"/>
            </w:rPr>
          </w:pPr>
          <w:r>
            <w:fldChar w:fldCharType="begin"/>
          </w:r>
          <w:r>
            <w:instrText xml:space="preserve"> HYPERLINK \l "_Toc30437" </w:instrText>
          </w:r>
          <w:r>
            <w:fldChar w:fldCharType="separate"/>
          </w:r>
          <w:r>
            <w:rPr>
              <w:rFonts w:hint="eastAsia" w:ascii="楷体_GB2312" w:hAnsi="楷体_GB2312" w:eastAsia="楷体_GB2312" w:cs="楷体_GB2312"/>
              <w:bCs/>
              <w:sz w:val="32"/>
              <w:szCs w:val="32"/>
            </w:rPr>
            <w:t>（一）第一赛段：互联网营销职业技能测评</w:t>
          </w:r>
          <w:r>
            <w:rPr>
              <w:sz w:val="32"/>
              <w:szCs w:val="32"/>
            </w:rPr>
            <w:tab/>
          </w:r>
          <w:r>
            <w:rPr>
              <w:sz w:val="32"/>
              <w:szCs w:val="32"/>
            </w:rPr>
            <w:fldChar w:fldCharType="begin"/>
          </w:r>
          <w:r>
            <w:rPr>
              <w:sz w:val="32"/>
              <w:szCs w:val="32"/>
            </w:rPr>
            <w:instrText xml:space="preserve"> PAGEREF _Toc30437 \h </w:instrText>
          </w:r>
          <w:r>
            <w:rPr>
              <w:sz w:val="32"/>
              <w:szCs w:val="32"/>
            </w:rPr>
            <w:fldChar w:fldCharType="separate"/>
          </w:r>
          <w:r>
            <w:rPr>
              <w:sz w:val="32"/>
              <w:szCs w:val="32"/>
            </w:rPr>
            <w:t xml:space="preserve">- </w:t>
          </w:r>
          <w:r>
            <w:rPr>
              <w:rFonts w:ascii="Times New Roman" w:hAnsi="Times New Roman"/>
              <w:sz w:val="32"/>
              <w:szCs w:val="32"/>
            </w:rPr>
            <w:t>2</w:t>
          </w:r>
          <w:r>
            <w:rPr>
              <w:sz w:val="32"/>
              <w:szCs w:val="32"/>
            </w:rPr>
            <w:t xml:space="preserve"> -</w:t>
          </w:r>
          <w:r>
            <w:rPr>
              <w:sz w:val="32"/>
              <w:szCs w:val="32"/>
            </w:rPr>
            <w:fldChar w:fldCharType="end"/>
          </w:r>
          <w:r>
            <w:rPr>
              <w:sz w:val="32"/>
              <w:szCs w:val="32"/>
            </w:rPr>
            <w:fldChar w:fldCharType="end"/>
          </w:r>
        </w:p>
        <w:p w14:paraId="55707F1F">
          <w:pPr>
            <w:pStyle w:val="12"/>
            <w:tabs>
              <w:tab w:val="right" w:leader="dot" w:pos="8306"/>
            </w:tabs>
            <w:spacing w:line="480" w:lineRule="exact"/>
            <w:rPr>
              <w:sz w:val="32"/>
              <w:szCs w:val="32"/>
            </w:rPr>
          </w:pPr>
          <w:r>
            <w:fldChar w:fldCharType="begin"/>
          </w:r>
          <w:r>
            <w:instrText xml:space="preserve"> HYPERLINK \l "_Toc22594" </w:instrText>
          </w:r>
          <w:r>
            <w:fldChar w:fldCharType="separate"/>
          </w:r>
          <w:r>
            <w:rPr>
              <w:rFonts w:hint="eastAsia" w:ascii="楷体_GB2312" w:hAnsi="楷体_GB2312" w:eastAsia="楷体_GB2312" w:cs="楷体_GB2312"/>
              <w:bCs/>
              <w:sz w:val="32"/>
              <w:szCs w:val="32"/>
            </w:rPr>
            <w:t>（二）第二赛段：直播营销策划实施</w:t>
          </w:r>
          <w:r>
            <w:rPr>
              <w:sz w:val="32"/>
              <w:szCs w:val="32"/>
            </w:rPr>
            <w:tab/>
          </w:r>
          <w:r>
            <w:rPr>
              <w:sz w:val="32"/>
              <w:szCs w:val="32"/>
            </w:rPr>
            <w:fldChar w:fldCharType="begin"/>
          </w:r>
          <w:r>
            <w:rPr>
              <w:sz w:val="32"/>
              <w:szCs w:val="32"/>
            </w:rPr>
            <w:instrText xml:space="preserve"> PAGEREF _Toc22594 \h </w:instrText>
          </w:r>
          <w:r>
            <w:rPr>
              <w:sz w:val="32"/>
              <w:szCs w:val="32"/>
            </w:rPr>
            <w:fldChar w:fldCharType="separate"/>
          </w:r>
          <w:r>
            <w:rPr>
              <w:sz w:val="32"/>
              <w:szCs w:val="32"/>
            </w:rPr>
            <w:t xml:space="preserve">- </w:t>
          </w:r>
          <w:r>
            <w:rPr>
              <w:rFonts w:ascii="Times New Roman" w:hAnsi="Times New Roman"/>
              <w:sz w:val="32"/>
              <w:szCs w:val="32"/>
            </w:rPr>
            <w:t>3</w:t>
          </w:r>
          <w:r>
            <w:rPr>
              <w:sz w:val="32"/>
              <w:szCs w:val="32"/>
            </w:rPr>
            <w:t xml:space="preserve"> -</w:t>
          </w:r>
          <w:r>
            <w:rPr>
              <w:sz w:val="32"/>
              <w:szCs w:val="32"/>
            </w:rPr>
            <w:fldChar w:fldCharType="end"/>
          </w:r>
          <w:r>
            <w:rPr>
              <w:sz w:val="32"/>
              <w:szCs w:val="32"/>
            </w:rPr>
            <w:fldChar w:fldCharType="end"/>
          </w:r>
        </w:p>
        <w:p w14:paraId="59B475A5">
          <w:pPr>
            <w:pStyle w:val="11"/>
            <w:tabs>
              <w:tab w:val="right" w:leader="dot" w:pos="8306"/>
            </w:tabs>
            <w:spacing w:line="480" w:lineRule="exact"/>
            <w:rPr>
              <w:sz w:val="32"/>
              <w:szCs w:val="32"/>
            </w:rPr>
          </w:pPr>
          <w:r>
            <w:fldChar w:fldCharType="begin"/>
          </w:r>
          <w:r>
            <w:instrText xml:space="preserve"> HYPERLINK \l "_Toc18000" </w:instrText>
          </w:r>
          <w:r>
            <w:fldChar w:fldCharType="separate"/>
          </w:r>
          <w:r>
            <w:rPr>
              <w:rFonts w:hint="eastAsia" w:ascii="黑体" w:hAnsi="黑体" w:eastAsia="黑体" w:cs="黑体"/>
              <w:bCs/>
              <w:sz w:val="32"/>
              <w:szCs w:val="32"/>
            </w:rPr>
            <w:t>三、评判标准</w:t>
          </w:r>
          <w:r>
            <w:rPr>
              <w:sz w:val="32"/>
              <w:szCs w:val="32"/>
            </w:rPr>
            <w:tab/>
          </w:r>
          <w:r>
            <w:rPr>
              <w:sz w:val="32"/>
              <w:szCs w:val="32"/>
            </w:rPr>
            <w:fldChar w:fldCharType="begin"/>
          </w:r>
          <w:r>
            <w:rPr>
              <w:sz w:val="32"/>
              <w:szCs w:val="32"/>
            </w:rPr>
            <w:instrText xml:space="preserve"> PAGEREF _Toc18000 \h </w:instrText>
          </w:r>
          <w:r>
            <w:rPr>
              <w:sz w:val="32"/>
              <w:szCs w:val="32"/>
            </w:rPr>
            <w:fldChar w:fldCharType="separate"/>
          </w:r>
          <w:r>
            <w:rPr>
              <w:sz w:val="32"/>
              <w:szCs w:val="32"/>
            </w:rPr>
            <w:t xml:space="preserve">- </w:t>
          </w:r>
          <w:r>
            <w:rPr>
              <w:rFonts w:ascii="Times New Roman" w:hAnsi="Times New Roman"/>
              <w:sz w:val="32"/>
              <w:szCs w:val="32"/>
            </w:rPr>
            <w:t>5</w:t>
          </w:r>
          <w:r>
            <w:rPr>
              <w:sz w:val="32"/>
              <w:szCs w:val="32"/>
            </w:rPr>
            <w:t xml:space="preserve"> -</w:t>
          </w:r>
          <w:r>
            <w:rPr>
              <w:sz w:val="32"/>
              <w:szCs w:val="32"/>
            </w:rPr>
            <w:fldChar w:fldCharType="end"/>
          </w:r>
          <w:r>
            <w:rPr>
              <w:sz w:val="32"/>
              <w:szCs w:val="32"/>
            </w:rPr>
            <w:fldChar w:fldCharType="end"/>
          </w:r>
        </w:p>
        <w:p w14:paraId="6E00B980">
          <w:pPr>
            <w:pStyle w:val="12"/>
            <w:tabs>
              <w:tab w:val="right" w:leader="dot" w:pos="8306"/>
            </w:tabs>
            <w:spacing w:line="480" w:lineRule="exact"/>
            <w:rPr>
              <w:sz w:val="32"/>
              <w:szCs w:val="32"/>
            </w:rPr>
          </w:pPr>
          <w:r>
            <w:fldChar w:fldCharType="begin"/>
          </w:r>
          <w:r>
            <w:instrText xml:space="preserve"> HYPERLINK \l "_Toc5225" </w:instrText>
          </w:r>
          <w:r>
            <w:fldChar w:fldCharType="separate"/>
          </w:r>
          <w:r>
            <w:rPr>
              <w:rFonts w:hint="eastAsia" w:ascii="楷体_GB2312" w:hAnsi="楷体_GB2312" w:eastAsia="楷体_GB2312" w:cs="楷体_GB2312"/>
              <w:sz w:val="32"/>
              <w:szCs w:val="32"/>
            </w:rPr>
            <w:t>（一）分数权重及评分方法</w:t>
          </w:r>
          <w:r>
            <w:rPr>
              <w:sz w:val="32"/>
              <w:szCs w:val="32"/>
            </w:rPr>
            <w:tab/>
          </w:r>
          <w:r>
            <w:rPr>
              <w:sz w:val="32"/>
              <w:szCs w:val="32"/>
            </w:rPr>
            <w:fldChar w:fldCharType="begin"/>
          </w:r>
          <w:r>
            <w:rPr>
              <w:sz w:val="32"/>
              <w:szCs w:val="32"/>
            </w:rPr>
            <w:instrText xml:space="preserve"> PAGEREF _Toc5225 \h </w:instrText>
          </w:r>
          <w:r>
            <w:rPr>
              <w:sz w:val="32"/>
              <w:szCs w:val="32"/>
            </w:rPr>
            <w:fldChar w:fldCharType="separate"/>
          </w:r>
          <w:r>
            <w:rPr>
              <w:sz w:val="32"/>
              <w:szCs w:val="32"/>
            </w:rPr>
            <w:t xml:space="preserve">- </w:t>
          </w:r>
          <w:r>
            <w:rPr>
              <w:rFonts w:ascii="Times New Roman" w:hAnsi="Times New Roman"/>
              <w:sz w:val="32"/>
              <w:szCs w:val="32"/>
            </w:rPr>
            <w:t>5</w:t>
          </w:r>
          <w:r>
            <w:rPr>
              <w:sz w:val="32"/>
              <w:szCs w:val="32"/>
            </w:rPr>
            <w:t xml:space="preserve"> -</w:t>
          </w:r>
          <w:r>
            <w:rPr>
              <w:sz w:val="32"/>
              <w:szCs w:val="32"/>
            </w:rPr>
            <w:fldChar w:fldCharType="end"/>
          </w:r>
          <w:r>
            <w:rPr>
              <w:sz w:val="32"/>
              <w:szCs w:val="32"/>
            </w:rPr>
            <w:fldChar w:fldCharType="end"/>
          </w:r>
        </w:p>
        <w:p w14:paraId="6297AA5C">
          <w:pPr>
            <w:pStyle w:val="12"/>
            <w:tabs>
              <w:tab w:val="right" w:leader="dot" w:pos="8306"/>
            </w:tabs>
            <w:spacing w:line="480" w:lineRule="exact"/>
            <w:rPr>
              <w:sz w:val="32"/>
              <w:szCs w:val="32"/>
            </w:rPr>
          </w:pPr>
          <w:r>
            <w:fldChar w:fldCharType="begin"/>
          </w:r>
          <w:r>
            <w:instrText xml:space="preserve"> HYPERLINK \l "_Toc13633" </w:instrText>
          </w:r>
          <w:r>
            <w:fldChar w:fldCharType="separate"/>
          </w:r>
          <w:r>
            <w:rPr>
              <w:rFonts w:hint="eastAsia" w:ascii="楷体_GB2312" w:hAnsi="楷体_GB2312" w:eastAsia="楷体_GB2312" w:cs="楷体_GB2312"/>
              <w:sz w:val="32"/>
              <w:szCs w:val="32"/>
            </w:rPr>
            <w:t>（二）评分标准</w:t>
          </w:r>
          <w:r>
            <w:rPr>
              <w:sz w:val="32"/>
              <w:szCs w:val="32"/>
            </w:rPr>
            <w:tab/>
          </w:r>
          <w:r>
            <w:rPr>
              <w:sz w:val="32"/>
              <w:szCs w:val="32"/>
            </w:rPr>
            <w:fldChar w:fldCharType="begin"/>
          </w:r>
          <w:r>
            <w:rPr>
              <w:sz w:val="32"/>
              <w:szCs w:val="32"/>
            </w:rPr>
            <w:instrText xml:space="preserve"> PAGEREF _Toc13633 \h </w:instrText>
          </w:r>
          <w:r>
            <w:rPr>
              <w:sz w:val="32"/>
              <w:szCs w:val="32"/>
            </w:rPr>
            <w:fldChar w:fldCharType="separate"/>
          </w:r>
          <w:r>
            <w:rPr>
              <w:sz w:val="32"/>
              <w:szCs w:val="32"/>
            </w:rPr>
            <w:t xml:space="preserve">- </w:t>
          </w:r>
          <w:r>
            <w:rPr>
              <w:rFonts w:ascii="Times New Roman" w:hAnsi="Times New Roman"/>
              <w:sz w:val="32"/>
              <w:szCs w:val="32"/>
            </w:rPr>
            <w:t>5</w:t>
          </w:r>
          <w:r>
            <w:rPr>
              <w:sz w:val="32"/>
              <w:szCs w:val="32"/>
            </w:rPr>
            <w:t xml:space="preserve"> -</w:t>
          </w:r>
          <w:r>
            <w:rPr>
              <w:sz w:val="32"/>
              <w:szCs w:val="32"/>
            </w:rPr>
            <w:fldChar w:fldCharType="end"/>
          </w:r>
          <w:r>
            <w:rPr>
              <w:sz w:val="32"/>
              <w:szCs w:val="32"/>
            </w:rPr>
            <w:fldChar w:fldCharType="end"/>
          </w:r>
        </w:p>
        <w:p w14:paraId="4A10562E">
          <w:pPr>
            <w:pStyle w:val="11"/>
            <w:tabs>
              <w:tab w:val="right" w:leader="dot" w:pos="8306"/>
            </w:tabs>
            <w:spacing w:line="480" w:lineRule="exact"/>
            <w:rPr>
              <w:sz w:val="32"/>
              <w:szCs w:val="32"/>
            </w:rPr>
          </w:pPr>
          <w:r>
            <w:fldChar w:fldCharType="begin"/>
          </w:r>
          <w:r>
            <w:instrText xml:space="preserve"> HYPERLINK \l "_Toc30078" </w:instrText>
          </w:r>
          <w:r>
            <w:fldChar w:fldCharType="separate"/>
          </w:r>
          <w:r>
            <w:rPr>
              <w:rFonts w:hint="eastAsia" w:ascii="黑体" w:hAnsi="黑体" w:eastAsia="黑体" w:cs="黑体"/>
              <w:bCs/>
              <w:sz w:val="32"/>
              <w:szCs w:val="32"/>
            </w:rPr>
            <w:t>四、竞赛细则</w:t>
          </w:r>
          <w:r>
            <w:rPr>
              <w:sz w:val="32"/>
              <w:szCs w:val="32"/>
            </w:rPr>
            <w:tab/>
          </w:r>
          <w:r>
            <w:rPr>
              <w:sz w:val="32"/>
              <w:szCs w:val="32"/>
            </w:rPr>
            <w:fldChar w:fldCharType="begin"/>
          </w:r>
          <w:r>
            <w:rPr>
              <w:sz w:val="32"/>
              <w:szCs w:val="32"/>
            </w:rPr>
            <w:instrText xml:space="preserve"> PAGEREF _Toc30078 \h </w:instrText>
          </w:r>
          <w:r>
            <w:rPr>
              <w:sz w:val="32"/>
              <w:szCs w:val="32"/>
            </w:rPr>
            <w:fldChar w:fldCharType="separate"/>
          </w:r>
          <w:r>
            <w:rPr>
              <w:sz w:val="32"/>
              <w:szCs w:val="32"/>
            </w:rPr>
            <w:t xml:space="preserve">- </w:t>
          </w:r>
          <w:r>
            <w:rPr>
              <w:rFonts w:ascii="Times New Roman" w:hAnsi="Times New Roman"/>
              <w:sz w:val="32"/>
              <w:szCs w:val="32"/>
            </w:rPr>
            <w:t>6</w:t>
          </w:r>
          <w:r>
            <w:rPr>
              <w:sz w:val="32"/>
              <w:szCs w:val="32"/>
            </w:rPr>
            <w:t xml:space="preserve"> -</w:t>
          </w:r>
          <w:r>
            <w:rPr>
              <w:sz w:val="32"/>
              <w:szCs w:val="32"/>
            </w:rPr>
            <w:fldChar w:fldCharType="end"/>
          </w:r>
          <w:r>
            <w:rPr>
              <w:sz w:val="32"/>
              <w:szCs w:val="32"/>
            </w:rPr>
            <w:fldChar w:fldCharType="end"/>
          </w:r>
        </w:p>
        <w:p w14:paraId="3BB26BFC">
          <w:pPr>
            <w:pStyle w:val="12"/>
            <w:tabs>
              <w:tab w:val="right" w:leader="dot" w:pos="8306"/>
            </w:tabs>
            <w:spacing w:line="480" w:lineRule="exact"/>
            <w:rPr>
              <w:sz w:val="32"/>
              <w:szCs w:val="32"/>
            </w:rPr>
          </w:pPr>
          <w:r>
            <w:fldChar w:fldCharType="begin"/>
          </w:r>
          <w:r>
            <w:instrText xml:space="preserve"> HYPERLINK \l "_Toc16357" </w:instrText>
          </w:r>
          <w:r>
            <w:fldChar w:fldCharType="separate"/>
          </w:r>
          <w:r>
            <w:rPr>
              <w:rFonts w:hint="eastAsia" w:ascii="仿宋_GB2312" w:hAnsi="仿宋_GB2312" w:eastAsia="仿宋_GB2312" w:cs="仿宋_GB2312"/>
              <w:bCs/>
              <w:sz w:val="32"/>
              <w:szCs w:val="32"/>
            </w:rPr>
            <w:t>（一）竞赛流程安排</w:t>
          </w:r>
          <w:r>
            <w:rPr>
              <w:sz w:val="32"/>
              <w:szCs w:val="32"/>
            </w:rPr>
            <w:tab/>
          </w:r>
          <w:r>
            <w:rPr>
              <w:sz w:val="32"/>
              <w:szCs w:val="32"/>
            </w:rPr>
            <w:fldChar w:fldCharType="begin"/>
          </w:r>
          <w:r>
            <w:rPr>
              <w:sz w:val="32"/>
              <w:szCs w:val="32"/>
            </w:rPr>
            <w:instrText xml:space="preserve"> PAGEREF _Toc16357 \h </w:instrText>
          </w:r>
          <w:r>
            <w:rPr>
              <w:sz w:val="32"/>
              <w:szCs w:val="32"/>
            </w:rPr>
            <w:fldChar w:fldCharType="separate"/>
          </w:r>
          <w:r>
            <w:rPr>
              <w:sz w:val="32"/>
              <w:szCs w:val="32"/>
            </w:rPr>
            <w:t xml:space="preserve">- </w:t>
          </w:r>
          <w:r>
            <w:rPr>
              <w:rFonts w:ascii="Times New Roman" w:hAnsi="Times New Roman"/>
              <w:sz w:val="32"/>
              <w:szCs w:val="32"/>
            </w:rPr>
            <w:t>6</w:t>
          </w:r>
          <w:r>
            <w:rPr>
              <w:sz w:val="32"/>
              <w:szCs w:val="32"/>
            </w:rPr>
            <w:t xml:space="preserve"> -</w:t>
          </w:r>
          <w:r>
            <w:rPr>
              <w:sz w:val="32"/>
              <w:szCs w:val="32"/>
            </w:rPr>
            <w:fldChar w:fldCharType="end"/>
          </w:r>
          <w:r>
            <w:rPr>
              <w:sz w:val="32"/>
              <w:szCs w:val="32"/>
            </w:rPr>
            <w:fldChar w:fldCharType="end"/>
          </w:r>
        </w:p>
        <w:p w14:paraId="070370D6">
          <w:pPr>
            <w:pStyle w:val="12"/>
            <w:tabs>
              <w:tab w:val="right" w:leader="dot" w:pos="8306"/>
            </w:tabs>
            <w:spacing w:line="480" w:lineRule="exact"/>
            <w:rPr>
              <w:sz w:val="32"/>
              <w:szCs w:val="32"/>
            </w:rPr>
          </w:pPr>
          <w:r>
            <w:fldChar w:fldCharType="begin"/>
          </w:r>
          <w:r>
            <w:instrText xml:space="preserve"> HYPERLINK \l "_Toc9480" </w:instrText>
          </w:r>
          <w:r>
            <w:fldChar w:fldCharType="separate"/>
          </w:r>
          <w:r>
            <w:rPr>
              <w:rFonts w:hint="eastAsia" w:ascii="楷体_GB2312" w:hAnsi="楷体_GB2312" w:eastAsia="楷体_GB2312" w:cs="楷体_GB2312"/>
              <w:bCs/>
              <w:sz w:val="32"/>
              <w:szCs w:val="32"/>
            </w:rPr>
            <w:t>（二）工作要求</w:t>
          </w:r>
          <w:r>
            <w:rPr>
              <w:sz w:val="32"/>
              <w:szCs w:val="32"/>
            </w:rPr>
            <w:tab/>
          </w:r>
          <w:r>
            <w:rPr>
              <w:sz w:val="32"/>
              <w:szCs w:val="32"/>
            </w:rPr>
            <w:fldChar w:fldCharType="begin"/>
          </w:r>
          <w:r>
            <w:rPr>
              <w:sz w:val="32"/>
              <w:szCs w:val="32"/>
            </w:rPr>
            <w:instrText xml:space="preserve"> PAGEREF _Toc9480 \h </w:instrText>
          </w:r>
          <w:r>
            <w:rPr>
              <w:sz w:val="32"/>
              <w:szCs w:val="32"/>
            </w:rPr>
            <w:fldChar w:fldCharType="separate"/>
          </w:r>
          <w:r>
            <w:rPr>
              <w:sz w:val="32"/>
              <w:szCs w:val="32"/>
            </w:rPr>
            <w:t xml:space="preserve">- </w:t>
          </w:r>
          <w:r>
            <w:rPr>
              <w:rFonts w:ascii="Times New Roman" w:hAnsi="Times New Roman"/>
              <w:sz w:val="32"/>
              <w:szCs w:val="32"/>
            </w:rPr>
            <w:t>6</w:t>
          </w:r>
          <w:r>
            <w:rPr>
              <w:sz w:val="32"/>
              <w:szCs w:val="32"/>
            </w:rPr>
            <w:t xml:space="preserve"> -</w:t>
          </w:r>
          <w:r>
            <w:rPr>
              <w:sz w:val="32"/>
              <w:szCs w:val="32"/>
            </w:rPr>
            <w:fldChar w:fldCharType="end"/>
          </w:r>
          <w:r>
            <w:rPr>
              <w:sz w:val="32"/>
              <w:szCs w:val="32"/>
            </w:rPr>
            <w:fldChar w:fldCharType="end"/>
          </w:r>
        </w:p>
        <w:p w14:paraId="16D6028D">
          <w:pPr>
            <w:pStyle w:val="12"/>
            <w:tabs>
              <w:tab w:val="right" w:leader="dot" w:pos="8306"/>
            </w:tabs>
            <w:spacing w:line="480" w:lineRule="exact"/>
            <w:rPr>
              <w:sz w:val="32"/>
              <w:szCs w:val="32"/>
            </w:rPr>
          </w:pPr>
          <w:r>
            <w:fldChar w:fldCharType="begin"/>
          </w:r>
          <w:r>
            <w:instrText xml:space="preserve"> HYPERLINK \l "_Toc14219" </w:instrText>
          </w:r>
          <w:r>
            <w:fldChar w:fldCharType="separate"/>
          </w:r>
          <w:r>
            <w:rPr>
              <w:rFonts w:hint="eastAsia" w:ascii="楷体_GB2312" w:hAnsi="楷体_GB2312" w:eastAsia="楷体_GB2312" w:cs="楷体_GB2312"/>
              <w:sz w:val="32"/>
              <w:szCs w:val="32"/>
            </w:rPr>
            <w:t>（三）技术与赛务保障工作</w:t>
          </w:r>
          <w:r>
            <w:rPr>
              <w:sz w:val="32"/>
              <w:szCs w:val="32"/>
            </w:rPr>
            <w:tab/>
          </w:r>
          <w:r>
            <w:rPr>
              <w:sz w:val="32"/>
              <w:szCs w:val="32"/>
            </w:rPr>
            <w:fldChar w:fldCharType="begin"/>
          </w:r>
          <w:r>
            <w:rPr>
              <w:sz w:val="32"/>
              <w:szCs w:val="32"/>
            </w:rPr>
            <w:instrText xml:space="preserve"> PAGEREF _Toc14219 \h </w:instrText>
          </w:r>
          <w:r>
            <w:rPr>
              <w:sz w:val="32"/>
              <w:szCs w:val="32"/>
            </w:rPr>
            <w:fldChar w:fldCharType="separate"/>
          </w:r>
          <w:r>
            <w:rPr>
              <w:sz w:val="32"/>
              <w:szCs w:val="32"/>
            </w:rPr>
            <w:t xml:space="preserve">- </w:t>
          </w:r>
          <w:r>
            <w:rPr>
              <w:rFonts w:ascii="Times New Roman" w:hAnsi="Times New Roman"/>
              <w:sz w:val="32"/>
              <w:szCs w:val="32"/>
            </w:rPr>
            <w:t>8</w:t>
          </w:r>
          <w:r>
            <w:rPr>
              <w:sz w:val="32"/>
              <w:szCs w:val="32"/>
            </w:rPr>
            <w:t xml:space="preserve"> -</w:t>
          </w:r>
          <w:r>
            <w:rPr>
              <w:sz w:val="32"/>
              <w:szCs w:val="32"/>
            </w:rPr>
            <w:fldChar w:fldCharType="end"/>
          </w:r>
          <w:r>
            <w:rPr>
              <w:sz w:val="32"/>
              <w:szCs w:val="32"/>
            </w:rPr>
            <w:fldChar w:fldCharType="end"/>
          </w:r>
        </w:p>
        <w:p w14:paraId="0DB448F8">
          <w:pPr>
            <w:pStyle w:val="12"/>
            <w:tabs>
              <w:tab w:val="right" w:leader="dot" w:pos="8306"/>
            </w:tabs>
            <w:spacing w:line="480" w:lineRule="exact"/>
            <w:rPr>
              <w:sz w:val="32"/>
              <w:szCs w:val="32"/>
            </w:rPr>
          </w:pPr>
          <w:r>
            <w:fldChar w:fldCharType="begin"/>
          </w:r>
          <w:r>
            <w:instrText xml:space="preserve"> HYPERLINK \l "_Toc19824" </w:instrText>
          </w:r>
          <w:r>
            <w:fldChar w:fldCharType="separate"/>
          </w:r>
          <w:r>
            <w:rPr>
              <w:rFonts w:hint="eastAsia" w:ascii="楷体_GB2312" w:hAnsi="楷体_GB2312" w:eastAsia="楷体_GB2312" w:cs="楷体_GB2312"/>
              <w:sz w:val="32"/>
              <w:szCs w:val="32"/>
            </w:rPr>
            <w:t>（四）评判工作</w:t>
          </w:r>
          <w:r>
            <w:rPr>
              <w:sz w:val="32"/>
              <w:szCs w:val="32"/>
            </w:rPr>
            <w:tab/>
          </w:r>
          <w:r>
            <w:rPr>
              <w:sz w:val="32"/>
              <w:szCs w:val="32"/>
            </w:rPr>
            <w:fldChar w:fldCharType="begin"/>
          </w:r>
          <w:r>
            <w:rPr>
              <w:sz w:val="32"/>
              <w:szCs w:val="32"/>
            </w:rPr>
            <w:instrText xml:space="preserve"> PAGEREF _Toc19824 \h </w:instrText>
          </w:r>
          <w:r>
            <w:rPr>
              <w:sz w:val="32"/>
              <w:szCs w:val="32"/>
            </w:rPr>
            <w:fldChar w:fldCharType="separate"/>
          </w:r>
          <w:r>
            <w:rPr>
              <w:sz w:val="32"/>
              <w:szCs w:val="32"/>
            </w:rPr>
            <w:t xml:space="preserve">- </w:t>
          </w:r>
          <w:r>
            <w:rPr>
              <w:rFonts w:ascii="Times New Roman" w:hAnsi="Times New Roman"/>
              <w:sz w:val="32"/>
              <w:szCs w:val="32"/>
            </w:rPr>
            <w:t>9</w:t>
          </w:r>
          <w:r>
            <w:rPr>
              <w:sz w:val="32"/>
              <w:szCs w:val="32"/>
            </w:rPr>
            <w:t xml:space="preserve"> -</w:t>
          </w:r>
          <w:r>
            <w:rPr>
              <w:sz w:val="32"/>
              <w:szCs w:val="32"/>
            </w:rPr>
            <w:fldChar w:fldCharType="end"/>
          </w:r>
          <w:r>
            <w:rPr>
              <w:sz w:val="32"/>
              <w:szCs w:val="32"/>
            </w:rPr>
            <w:fldChar w:fldCharType="end"/>
          </w:r>
        </w:p>
        <w:p w14:paraId="0C9ED5D6">
          <w:pPr>
            <w:pStyle w:val="12"/>
            <w:tabs>
              <w:tab w:val="right" w:leader="dot" w:pos="8306"/>
            </w:tabs>
            <w:spacing w:line="480" w:lineRule="exact"/>
            <w:rPr>
              <w:sz w:val="32"/>
              <w:szCs w:val="32"/>
            </w:rPr>
          </w:pPr>
          <w:r>
            <w:fldChar w:fldCharType="begin"/>
          </w:r>
          <w:r>
            <w:instrText xml:space="preserve"> HYPERLINK \l "_Toc10726" </w:instrText>
          </w:r>
          <w:r>
            <w:fldChar w:fldCharType="separate"/>
          </w:r>
          <w:r>
            <w:rPr>
              <w:rFonts w:hint="eastAsia" w:ascii="楷体_GB2312" w:hAnsi="楷体_GB2312" w:eastAsia="楷体_GB2312" w:cs="楷体_GB2312"/>
              <w:sz w:val="32"/>
              <w:szCs w:val="32"/>
            </w:rPr>
            <w:t>（五）违规情形和处理</w:t>
          </w:r>
          <w:r>
            <w:rPr>
              <w:sz w:val="32"/>
              <w:szCs w:val="32"/>
            </w:rPr>
            <w:tab/>
          </w:r>
          <w:r>
            <w:rPr>
              <w:sz w:val="32"/>
              <w:szCs w:val="32"/>
            </w:rPr>
            <w:fldChar w:fldCharType="begin"/>
          </w:r>
          <w:r>
            <w:rPr>
              <w:sz w:val="32"/>
              <w:szCs w:val="32"/>
            </w:rPr>
            <w:instrText xml:space="preserve"> PAGEREF _Toc10726 \h </w:instrText>
          </w:r>
          <w:r>
            <w:rPr>
              <w:sz w:val="32"/>
              <w:szCs w:val="32"/>
            </w:rPr>
            <w:fldChar w:fldCharType="separate"/>
          </w:r>
          <w:r>
            <w:rPr>
              <w:sz w:val="32"/>
              <w:szCs w:val="32"/>
            </w:rPr>
            <w:t xml:space="preserve">- </w:t>
          </w:r>
          <w:r>
            <w:rPr>
              <w:rFonts w:ascii="Times New Roman" w:hAnsi="Times New Roman"/>
              <w:sz w:val="32"/>
              <w:szCs w:val="32"/>
            </w:rPr>
            <w:t>10</w:t>
          </w:r>
          <w:r>
            <w:rPr>
              <w:sz w:val="32"/>
              <w:szCs w:val="32"/>
            </w:rPr>
            <w:t xml:space="preserve"> -</w:t>
          </w:r>
          <w:r>
            <w:rPr>
              <w:sz w:val="32"/>
              <w:szCs w:val="32"/>
            </w:rPr>
            <w:fldChar w:fldCharType="end"/>
          </w:r>
          <w:r>
            <w:rPr>
              <w:sz w:val="32"/>
              <w:szCs w:val="32"/>
            </w:rPr>
            <w:fldChar w:fldCharType="end"/>
          </w:r>
        </w:p>
        <w:p w14:paraId="3C10418C">
          <w:pPr>
            <w:pStyle w:val="12"/>
            <w:tabs>
              <w:tab w:val="right" w:leader="dot" w:pos="8306"/>
            </w:tabs>
            <w:spacing w:line="480" w:lineRule="exact"/>
            <w:rPr>
              <w:sz w:val="32"/>
              <w:szCs w:val="32"/>
            </w:rPr>
          </w:pPr>
          <w:r>
            <w:fldChar w:fldCharType="begin"/>
          </w:r>
          <w:r>
            <w:instrText xml:space="preserve"> HYPERLINK \l "_Toc26313" </w:instrText>
          </w:r>
          <w:r>
            <w:fldChar w:fldCharType="separate"/>
          </w:r>
          <w:r>
            <w:rPr>
              <w:rFonts w:hint="eastAsia" w:ascii="楷体_GB2312" w:hAnsi="楷体_GB2312" w:eastAsia="楷体_GB2312" w:cs="楷体_GB2312"/>
              <w:sz w:val="32"/>
              <w:szCs w:val="32"/>
            </w:rPr>
            <w:t>（六）问题或争议的处理</w:t>
          </w:r>
          <w:r>
            <w:rPr>
              <w:sz w:val="32"/>
              <w:szCs w:val="32"/>
            </w:rPr>
            <w:tab/>
          </w:r>
          <w:r>
            <w:rPr>
              <w:sz w:val="32"/>
              <w:szCs w:val="32"/>
            </w:rPr>
            <w:fldChar w:fldCharType="begin"/>
          </w:r>
          <w:r>
            <w:rPr>
              <w:sz w:val="32"/>
              <w:szCs w:val="32"/>
            </w:rPr>
            <w:instrText xml:space="preserve"> PAGEREF _Toc26313 \h </w:instrText>
          </w:r>
          <w:r>
            <w:rPr>
              <w:sz w:val="32"/>
              <w:szCs w:val="32"/>
            </w:rPr>
            <w:fldChar w:fldCharType="separate"/>
          </w:r>
          <w:r>
            <w:rPr>
              <w:sz w:val="32"/>
              <w:szCs w:val="32"/>
            </w:rPr>
            <w:t xml:space="preserve">- </w:t>
          </w:r>
          <w:r>
            <w:rPr>
              <w:rFonts w:ascii="Times New Roman" w:hAnsi="Times New Roman"/>
              <w:sz w:val="32"/>
              <w:szCs w:val="32"/>
            </w:rPr>
            <w:t>12</w:t>
          </w:r>
          <w:r>
            <w:rPr>
              <w:sz w:val="32"/>
              <w:szCs w:val="32"/>
            </w:rPr>
            <w:t xml:space="preserve"> -</w:t>
          </w:r>
          <w:r>
            <w:rPr>
              <w:sz w:val="32"/>
              <w:szCs w:val="32"/>
            </w:rPr>
            <w:fldChar w:fldCharType="end"/>
          </w:r>
          <w:r>
            <w:rPr>
              <w:sz w:val="32"/>
              <w:szCs w:val="32"/>
            </w:rPr>
            <w:fldChar w:fldCharType="end"/>
          </w:r>
        </w:p>
        <w:p w14:paraId="585B50D8">
          <w:pPr>
            <w:pStyle w:val="11"/>
            <w:tabs>
              <w:tab w:val="right" w:leader="dot" w:pos="8306"/>
            </w:tabs>
            <w:spacing w:line="480" w:lineRule="exact"/>
            <w:rPr>
              <w:sz w:val="32"/>
              <w:szCs w:val="32"/>
            </w:rPr>
          </w:pPr>
          <w:r>
            <w:fldChar w:fldCharType="begin"/>
          </w:r>
          <w:r>
            <w:instrText xml:space="preserve"> HYPERLINK \l "_Toc29501" </w:instrText>
          </w:r>
          <w:r>
            <w:fldChar w:fldCharType="separate"/>
          </w:r>
          <w:r>
            <w:rPr>
              <w:rFonts w:hint="eastAsia" w:ascii="黑体" w:hAnsi="黑体" w:eastAsia="黑体" w:cs="黑体"/>
              <w:bCs/>
              <w:sz w:val="32"/>
              <w:szCs w:val="32"/>
            </w:rPr>
            <w:t>四、竞赛场地、设施设备等安排</w:t>
          </w:r>
          <w:r>
            <w:rPr>
              <w:sz w:val="32"/>
              <w:szCs w:val="32"/>
            </w:rPr>
            <w:tab/>
          </w:r>
          <w:r>
            <w:rPr>
              <w:sz w:val="32"/>
              <w:szCs w:val="32"/>
            </w:rPr>
            <w:fldChar w:fldCharType="begin"/>
          </w:r>
          <w:r>
            <w:rPr>
              <w:sz w:val="32"/>
              <w:szCs w:val="32"/>
            </w:rPr>
            <w:instrText xml:space="preserve"> PAGEREF _Toc29501 \h </w:instrText>
          </w:r>
          <w:r>
            <w:rPr>
              <w:sz w:val="32"/>
              <w:szCs w:val="32"/>
            </w:rPr>
            <w:fldChar w:fldCharType="separate"/>
          </w:r>
          <w:r>
            <w:rPr>
              <w:sz w:val="32"/>
              <w:szCs w:val="32"/>
            </w:rPr>
            <w:t xml:space="preserve">- </w:t>
          </w:r>
          <w:r>
            <w:rPr>
              <w:rFonts w:ascii="Times New Roman" w:hAnsi="Times New Roman"/>
              <w:sz w:val="32"/>
              <w:szCs w:val="32"/>
            </w:rPr>
            <w:t>13</w:t>
          </w:r>
          <w:r>
            <w:rPr>
              <w:sz w:val="32"/>
              <w:szCs w:val="32"/>
            </w:rPr>
            <w:t xml:space="preserve"> -</w:t>
          </w:r>
          <w:r>
            <w:rPr>
              <w:sz w:val="32"/>
              <w:szCs w:val="32"/>
            </w:rPr>
            <w:fldChar w:fldCharType="end"/>
          </w:r>
          <w:r>
            <w:rPr>
              <w:sz w:val="32"/>
              <w:szCs w:val="32"/>
            </w:rPr>
            <w:fldChar w:fldCharType="end"/>
          </w:r>
        </w:p>
        <w:p w14:paraId="087FE2A7">
          <w:pPr>
            <w:pStyle w:val="12"/>
            <w:tabs>
              <w:tab w:val="right" w:leader="dot" w:pos="8306"/>
            </w:tabs>
            <w:spacing w:line="480" w:lineRule="exact"/>
            <w:rPr>
              <w:sz w:val="32"/>
              <w:szCs w:val="32"/>
            </w:rPr>
          </w:pPr>
          <w:r>
            <w:fldChar w:fldCharType="begin"/>
          </w:r>
          <w:r>
            <w:instrText xml:space="preserve"> HYPERLINK \l "_Toc5814" </w:instrText>
          </w:r>
          <w:r>
            <w:fldChar w:fldCharType="separate"/>
          </w:r>
          <w:r>
            <w:rPr>
              <w:rFonts w:hint="eastAsia" w:ascii="楷体_GB2312" w:hAnsi="楷体_GB2312" w:eastAsia="楷体_GB2312" w:cs="楷体_GB2312"/>
              <w:bCs/>
              <w:sz w:val="32"/>
              <w:szCs w:val="32"/>
            </w:rPr>
            <w:t>（一）赛场规格要求</w:t>
          </w:r>
          <w:r>
            <w:rPr>
              <w:sz w:val="32"/>
              <w:szCs w:val="32"/>
            </w:rPr>
            <w:tab/>
          </w:r>
          <w:r>
            <w:rPr>
              <w:sz w:val="32"/>
              <w:szCs w:val="32"/>
            </w:rPr>
            <w:fldChar w:fldCharType="begin"/>
          </w:r>
          <w:r>
            <w:rPr>
              <w:sz w:val="32"/>
              <w:szCs w:val="32"/>
            </w:rPr>
            <w:instrText xml:space="preserve"> PAGEREF _Toc5814 \h </w:instrText>
          </w:r>
          <w:r>
            <w:rPr>
              <w:sz w:val="32"/>
              <w:szCs w:val="32"/>
            </w:rPr>
            <w:fldChar w:fldCharType="separate"/>
          </w:r>
          <w:r>
            <w:rPr>
              <w:sz w:val="32"/>
              <w:szCs w:val="32"/>
            </w:rPr>
            <w:t xml:space="preserve">- </w:t>
          </w:r>
          <w:r>
            <w:rPr>
              <w:rFonts w:ascii="Times New Roman" w:hAnsi="Times New Roman"/>
              <w:sz w:val="32"/>
              <w:szCs w:val="32"/>
            </w:rPr>
            <w:t>13</w:t>
          </w:r>
          <w:r>
            <w:rPr>
              <w:sz w:val="32"/>
              <w:szCs w:val="32"/>
            </w:rPr>
            <w:t xml:space="preserve"> -</w:t>
          </w:r>
          <w:r>
            <w:rPr>
              <w:sz w:val="32"/>
              <w:szCs w:val="32"/>
            </w:rPr>
            <w:fldChar w:fldCharType="end"/>
          </w:r>
          <w:r>
            <w:rPr>
              <w:sz w:val="32"/>
              <w:szCs w:val="32"/>
            </w:rPr>
            <w:fldChar w:fldCharType="end"/>
          </w:r>
        </w:p>
        <w:p w14:paraId="5513DDC5">
          <w:pPr>
            <w:pStyle w:val="12"/>
            <w:tabs>
              <w:tab w:val="right" w:leader="dot" w:pos="8306"/>
            </w:tabs>
            <w:spacing w:line="480" w:lineRule="exact"/>
            <w:rPr>
              <w:sz w:val="32"/>
              <w:szCs w:val="32"/>
            </w:rPr>
          </w:pPr>
          <w:r>
            <w:fldChar w:fldCharType="begin"/>
          </w:r>
          <w:r>
            <w:instrText xml:space="preserve"> HYPERLINK \l "_Toc23360" </w:instrText>
          </w:r>
          <w:r>
            <w:fldChar w:fldCharType="separate"/>
          </w:r>
          <w:r>
            <w:rPr>
              <w:rFonts w:hint="eastAsia" w:ascii="楷体_GB2312" w:hAnsi="楷体_GB2312" w:eastAsia="楷体_GB2312" w:cs="楷体_GB2312"/>
              <w:bCs/>
              <w:sz w:val="32"/>
              <w:szCs w:val="32"/>
            </w:rPr>
            <w:t>（二）裁判组分工</w:t>
          </w:r>
          <w:r>
            <w:rPr>
              <w:sz w:val="32"/>
              <w:szCs w:val="32"/>
            </w:rPr>
            <w:tab/>
          </w:r>
          <w:r>
            <w:rPr>
              <w:sz w:val="32"/>
              <w:szCs w:val="32"/>
            </w:rPr>
            <w:fldChar w:fldCharType="begin"/>
          </w:r>
          <w:r>
            <w:rPr>
              <w:sz w:val="32"/>
              <w:szCs w:val="32"/>
            </w:rPr>
            <w:instrText xml:space="preserve"> PAGEREF _Toc23360 \h </w:instrText>
          </w:r>
          <w:r>
            <w:rPr>
              <w:sz w:val="32"/>
              <w:szCs w:val="32"/>
            </w:rPr>
            <w:fldChar w:fldCharType="separate"/>
          </w:r>
          <w:r>
            <w:rPr>
              <w:sz w:val="32"/>
              <w:szCs w:val="32"/>
            </w:rPr>
            <w:t xml:space="preserve">- </w:t>
          </w:r>
          <w:r>
            <w:rPr>
              <w:rFonts w:ascii="Times New Roman" w:hAnsi="Times New Roman"/>
              <w:sz w:val="32"/>
              <w:szCs w:val="32"/>
            </w:rPr>
            <w:t>13</w:t>
          </w:r>
          <w:r>
            <w:rPr>
              <w:sz w:val="32"/>
              <w:szCs w:val="32"/>
            </w:rPr>
            <w:t xml:space="preserve"> -</w:t>
          </w:r>
          <w:r>
            <w:rPr>
              <w:sz w:val="32"/>
              <w:szCs w:val="32"/>
            </w:rPr>
            <w:fldChar w:fldCharType="end"/>
          </w:r>
          <w:r>
            <w:rPr>
              <w:sz w:val="32"/>
              <w:szCs w:val="32"/>
            </w:rPr>
            <w:fldChar w:fldCharType="end"/>
          </w:r>
        </w:p>
        <w:p w14:paraId="332A941A">
          <w:pPr>
            <w:pStyle w:val="12"/>
            <w:tabs>
              <w:tab w:val="right" w:leader="dot" w:pos="8306"/>
            </w:tabs>
            <w:spacing w:line="480" w:lineRule="exact"/>
            <w:rPr>
              <w:sz w:val="32"/>
              <w:szCs w:val="32"/>
            </w:rPr>
          </w:pPr>
          <w:r>
            <w:fldChar w:fldCharType="begin"/>
          </w:r>
          <w:r>
            <w:instrText xml:space="preserve"> HYPERLINK \l "_Toc9330" </w:instrText>
          </w:r>
          <w:r>
            <w:fldChar w:fldCharType="separate"/>
          </w:r>
          <w:r>
            <w:rPr>
              <w:rFonts w:hint="eastAsia" w:ascii="楷体_GB2312" w:hAnsi="楷体_GB2312" w:eastAsia="楷体_GB2312" w:cs="楷体_GB2312"/>
              <w:bCs/>
              <w:sz w:val="32"/>
              <w:szCs w:val="32"/>
            </w:rPr>
            <w:t>（三）基础设施清单</w:t>
          </w:r>
          <w:r>
            <w:rPr>
              <w:sz w:val="32"/>
              <w:szCs w:val="32"/>
            </w:rPr>
            <w:tab/>
          </w:r>
          <w:r>
            <w:rPr>
              <w:sz w:val="32"/>
              <w:szCs w:val="32"/>
            </w:rPr>
            <w:fldChar w:fldCharType="begin"/>
          </w:r>
          <w:r>
            <w:rPr>
              <w:sz w:val="32"/>
              <w:szCs w:val="32"/>
            </w:rPr>
            <w:instrText xml:space="preserve"> PAGEREF _Toc9330 \h </w:instrText>
          </w:r>
          <w:r>
            <w:rPr>
              <w:sz w:val="32"/>
              <w:szCs w:val="32"/>
            </w:rPr>
            <w:fldChar w:fldCharType="separate"/>
          </w:r>
          <w:r>
            <w:rPr>
              <w:sz w:val="32"/>
              <w:szCs w:val="32"/>
            </w:rPr>
            <w:t xml:space="preserve">- </w:t>
          </w:r>
          <w:r>
            <w:rPr>
              <w:rFonts w:ascii="Times New Roman" w:hAnsi="Times New Roman"/>
              <w:sz w:val="32"/>
              <w:szCs w:val="32"/>
            </w:rPr>
            <w:t>14</w:t>
          </w:r>
          <w:r>
            <w:rPr>
              <w:sz w:val="32"/>
              <w:szCs w:val="32"/>
            </w:rPr>
            <w:t xml:space="preserve"> -</w:t>
          </w:r>
          <w:r>
            <w:rPr>
              <w:sz w:val="32"/>
              <w:szCs w:val="32"/>
            </w:rPr>
            <w:fldChar w:fldCharType="end"/>
          </w:r>
          <w:r>
            <w:rPr>
              <w:sz w:val="32"/>
              <w:szCs w:val="32"/>
            </w:rPr>
            <w:fldChar w:fldCharType="end"/>
          </w:r>
        </w:p>
        <w:p w14:paraId="19717B89">
          <w:pPr>
            <w:pStyle w:val="12"/>
            <w:tabs>
              <w:tab w:val="right" w:leader="dot" w:pos="8306"/>
            </w:tabs>
            <w:spacing w:line="480" w:lineRule="exact"/>
            <w:rPr>
              <w:sz w:val="32"/>
              <w:szCs w:val="32"/>
            </w:rPr>
          </w:pPr>
          <w:r>
            <w:fldChar w:fldCharType="begin"/>
          </w:r>
          <w:r>
            <w:instrText xml:space="preserve"> HYPERLINK \l "_Toc22874" </w:instrText>
          </w:r>
          <w:r>
            <w:fldChar w:fldCharType="separate"/>
          </w:r>
          <w:r>
            <w:rPr>
              <w:rFonts w:hint="eastAsia" w:ascii="楷体_GB2312" w:hAnsi="楷体_GB2312" w:eastAsia="楷体_GB2312" w:cs="楷体_GB2312"/>
              <w:bCs/>
              <w:sz w:val="32"/>
              <w:szCs w:val="32"/>
            </w:rPr>
            <w:t>（四）选手自带材料</w:t>
          </w:r>
          <w:r>
            <w:rPr>
              <w:sz w:val="32"/>
              <w:szCs w:val="32"/>
            </w:rPr>
            <w:tab/>
          </w:r>
          <w:r>
            <w:rPr>
              <w:sz w:val="32"/>
              <w:szCs w:val="32"/>
            </w:rPr>
            <w:fldChar w:fldCharType="begin"/>
          </w:r>
          <w:r>
            <w:rPr>
              <w:sz w:val="32"/>
              <w:szCs w:val="32"/>
            </w:rPr>
            <w:instrText xml:space="preserve"> PAGEREF _Toc22874 \h </w:instrText>
          </w:r>
          <w:r>
            <w:rPr>
              <w:sz w:val="32"/>
              <w:szCs w:val="32"/>
            </w:rPr>
            <w:fldChar w:fldCharType="separate"/>
          </w:r>
          <w:r>
            <w:rPr>
              <w:sz w:val="32"/>
              <w:szCs w:val="32"/>
            </w:rPr>
            <w:t xml:space="preserve">- </w:t>
          </w:r>
          <w:r>
            <w:rPr>
              <w:rFonts w:ascii="Times New Roman" w:hAnsi="Times New Roman"/>
              <w:sz w:val="32"/>
              <w:szCs w:val="32"/>
            </w:rPr>
            <w:t>15</w:t>
          </w:r>
          <w:r>
            <w:rPr>
              <w:sz w:val="32"/>
              <w:szCs w:val="32"/>
            </w:rPr>
            <w:t xml:space="preserve"> -</w:t>
          </w:r>
          <w:r>
            <w:rPr>
              <w:sz w:val="32"/>
              <w:szCs w:val="32"/>
            </w:rPr>
            <w:fldChar w:fldCharType="end"/>
          </w:r>
          <w:r>
            <w:rPr>
              <w:sz w:val="32"/>
              <w:szCs w:val="32"/>
            </w:rPr>
            <w:fldChar w:fldCharType="end"/>
          </w:r>
        </w:p>
        <w:p w14:paraId="568B44C9">
          <w:pPr>
            <w:pStyle w:val="11"/>
            <w:tabs>
              <w:tab w:val="right" w:leader="dot" w:pos="8306"/>
            </w:tabs>
            <w:spacing w:line="480" w:lineRule="exact"/>
            <w:rPr>
              <w:sz w:val="32"/>
              <w:szCs w:val="32"/>
            </w:rPr>
          </w:pPr>
          <w:r>
            <w:fldChar w:fldCharType="begin"/>
          </w:r>
          <w:r>
            <w:instrText xml:space="preserve"> HYPERLINK \l "_Toc19030" </w:instrText>
          </w:r>
          <w:r>
            <w:fldChar w:fldCharType="separate"/>
          </w:r>
          <w:r>
            <w:rPr>
              <w:rFonts w:hint="eastAsia" w:ascii="黑体" w:hAnsi="黑体" w:eastAsia="黑体" w:cs="黑体"/>
              <w:bCs/>
              <w:sz w:val="32"/>
              <w:szCs w:val="32"/>
            </w:rPr>
            <w:t>五、安全、健康要求</w:t>
          </w:r>
          <w:r>
            <w:rPr>
              <w:sz w:val="32"/>
              <w:szCs w:val="32"/>
            </w:rPr>
            <w:tab/>
          </w:r>
          <w:r>
            <w:rPr>
              <w:sz w:val="32"/>
              <w:szCs w:val="32"/>
            </w:rPr>
            <w:fldChar w:fldCharType="begin"/>
          </w:r>
          <w:r>
            <w:rPr>
              <w:sz w:val="32"/>
              <w:szCs w:val="32"/>
            </w:rPr>
            <w:instrText xml:space="preserve"> PAGEREF _Toc19030 \h </w:instrText>
          </w:r>
          <w:r>
            <w:rPr>
              <w:sz w:val="32"/>
              <w:szCs w:val="32"/>
            </w:rPr>
            <w:fldChar w:fldCharType="separate"/>
          </w:r>
          <w:r>
            <w:rPr>
              <w:sz w:val="32"/>
              <w:szCs w:val="32"/>
            </w:rPr>
            <w:t xml:space="preserve">- </w:t>
          </w:r>
          <w:r>
            <w:rPr>
              <w:rFonts w:ascii="Times New Roman" w:hAnsi="Times New Roman"/>
              <w:sz w:val="32"/>
              <w:szCs w:val="32"/>
            </w:rPr>
            <w:t>15</w:t>
          </w:r>
          <w:r>
            <w:rPr>
              <w:sz w:val="32"/>
              <w:szCs w:val="32"/>
            </w:rPr>
            <w:t xml:space="preserve"> -</w:t>
          </w:r>
          <w:r>
            <w:rPr>
              <w:sz w:val="32"/>
              <w:szCs w:val="32"/>
            </w:rPr>
            <w:fldChar w:fldCharType="end"/>
          </w:r>
          <w:r>
            <w:rPr>
              <w:sz w:val="32"/>
              <w:szCs w:val="32"/>
            </w:rPr>
            <w:fldChar w:fldCharType="end"/>
          </w:r>
        </w:p>
        <w:p w14:paraId="03EBB0A6">
          <w:pPr>
            <w:pStyle w:val="12"/>
            <w:tabs>
              <w:tab w:val="right" w:leader="dot" w:pos="8306"/>
            </w:tabs>
            <w:spacing w:line="480" w:lineRule="exact"/>
            <w:rPr>
              <w:sz w:val="32"/>
              <w:szCs w:val="32"/>
            </w:rPr>
          </w:pPr>
          <w:r>
            <w:fldChar w:fldCharType="begin"/>
          </w:r>
          <w:r>
            <w:instrText xml:space="preserve"> HYPERLINK \l "_Toc17590" </w:instrText>
          </w:r>
          <w:r>
            <w:fldChar w:fldCharType="separate"/>
          </w:r>
          <w:r>
            <w:rPr>
              <w:rFonts w:hint="eastAsia" w:ascii="楷体_GB2312" w:hAnsi="楷体_GB2312" w:eastAsia="楷体_GB2312" w:cs="楷体_GB2312"/>
              <w:bCs/>
              <w:sz w:val="32"/>
              <w:szCs w:val="32"/>
            </w:rPr>
            <w:t>（一）人员安全、健康要求</w:t>
          </w:r>
          <w:r>
            <w:rPr>
              <w:sz w:val="32"/>
              <w:szCs w:val="32"/>
            </w:rPr>
            <w:tab/>
          </w:r>
          <w:r>
            <w:rPr>
              <w:sz w:val="32"/>
              <w:szCs w:val="32"/>
            </w:rPr>
            <w:fldChar w:fldCharType="begin"/>
          </w:r>
          <w:r>
            <w:rPr>
              <w:sz w:val="32"/>
              <w:szCs w:val="32"/>
            </w:rPr>
            <w:instrText xml:space="preserve"> PAGEREF _Toc17590 \h </w:instrText>
          </w:r>
          <w:r>
            <w:rPr>
              <w:sz w:val="32"/>
              <w:szCs w:val="32"/>
            </w:rPr>
            <w:fldChar w:fldCharType="separate"/>
          </w:r>
          <w:r>
            <w:rPr>
              <w:sz w:val="32"/>
              <w:szCs w:val="32"/>
            </w:rPr>
            <w:t xml:space="preserve">- </w:t>
          </w:r>
          <w:r>
            <w:rPr>
              <w:rFonts w:ascii="Times New Roman" w:hAnsi="Times New Roman"/>
              <w:sz w:val="32"/>
              <w:szCs w:val="32"/>
            </w:rPr>
            <w:t>15</w:t>
          </w:r>
          <w:r>
            <w:rPr>
              <w:sz w:val="32"/>
              <w:szCs w:val="32"/>
            </w:rPr>
            <w:t xml:space="preserve"> -</w:t>
          </w:r>
          <w:r>
            <w:rPr>
              <w:sz w:val="32"/>
              <w:szCs w:val="32"/>
            </w:rPr>
            <w:fldChar w:fldCharType="end"/>
          </w:r>
          <w:r>
            <w:rPr>
              <w:sz w:val="32"/>
              <w:szCs w:val="32"/>
            </w:rPr>
            <w:fldChar w:fldCharType="end"/>
          </w:r>
        </w:p>
        <w:p w14:paraId="2FE6EF55">
          <w:pPr>
            <w:pStyle w:val="12"/>
            <w:tabs>
              <w:tab w:val="right" w:leader="dot" w:pos="8306"/>
            </w:tabs>
            <w:spacing w:line="480" w:lineRule="exact"/>
            <w:rPr>
              <w:sz w:val="32"/>
              <w:szCs w:val="32"/>
            </w:rPr>
          </w:pPr>
          <w:r>
            <w:fldChar w:fldCharType="begin"/>
          </w:r>
          <w:r>
            <w:instrText xml:space="preserve"> HYPERLINK \l "_Toc14412" </w:instrText>
          </w:r>
          <w:r>
            <w:fldChar w:fldCharType="separate"/>
          </w:r>
          <w:r>
            <w:rPr>
              <w:rFonts w:hint="eastAsia" w:ascii="楷体_GB2312" w:hAnsi="楷体_GB2312" w:eastAsia="楷体_GB2312" w:cs="楷体_GB2312"/>
              <w:bCs/>
              <w:sz w:val="32"/>
              <w:szCs w:val="32"/>
            </w:rPr>
            <w:t>（二）场地安全、健康安排</w:t>
          </w:r>
          <w:r>
            <w:rPr>
              <w:sz w:val="32"/>
              <w:szCs w:val="32"/>
            </w:rPr>
            <w:tab/>
          </w:r>
          <w:r>
            <w:rPr>
              <w:sz w:val="32"/>
              <w:szCs w:val="32"/>
            </w:rPr>
            <w:fldChar w:fldCharType="begin"/>
          </w:r>
          <w:r>
            <w:rPr>
              <w:sz w:val="32"/>
              <w:szCs w:val="32"/>
            </w:rPr>
            <w:instrText xml:space="preserve"> PAGEREF _Toc14412 \h </w:instrText>
          </w:r>
          <w:r>
            <w:rPr>
              <w:sz w:val="32"/>
              <w:szCs w:val="32"/>
            </w:rPr>
            <w:fldChar w:fldCharType="separate"/>
          </w:r>
          <w:r>
            <w:rPr>
              <w:sz w:val="32"/>
              <w:szCs w:val="32"/>
            </w:rPr>
            <w:t xml:space="preserve">- </w:t>
          </w:r>
          <w:r>
            <w:rPr>
              <w:rFonts w:ascii="Times New Roman" w:hAnsi="Times New Roman"/>
              <w:sz w:val="32"/>
              <w:szCs w:val="32"/>
            </w:rPr>
            <w:t>16</w:t>
          </w:r>
          <w:r>
            <w:rPr>
              <w:sz w:val="32"/>
              <w:szCs w:val="32"/>
            </w:rPr>
            <w:t xml:space="preserve"> -</w:t>
          </w:r>
          <w:r>
            <w:rPr>
              <w:sz w:val="32"/>
              <w:szCs w:val="32"/>
            </w:rPr>
            <w:fldChar w:fldCharType="end"/>
          </w:r>
          <w:r>
            <w:rPr>
              <w:sz w:val="32"/>
              <w:szCs w:val="32"/>
            </w:rPr>
            <w:fldChar w:fldCharType="end"/>
          </w:r>
        </w:p>
        <w:p w14:paraId="5DBEA7E0">
          <w:pPr>
            <w:pStyle w:val="12"/>
            <w:tabs>
              <w:tab w:val="right" w:leader="dot" w:pos="8306"/>
            </w:tabs>
            <w:spacing w:line="480" w:lineRule="exact"/>
          </w:pPr>
          <w:r>
            <w:fldChar w:fldCharType="begin"/>
          </w:r>
          <w:r>
            <w:instrText xml:space="preserve"> HYPERLINK \l "_Toc5461" </w:instrText>
          </w:r>
          <w:r>
            <w:fldChar w:fldCharType="separate"/>
          </w:r>
          <w:r>
            <w:rPr>
              <w:rFonts w:hint="eastAsia" w:ascii="楷体_GB2312" w:hAnsi="楷体_GB2312" w:eastAsia="楷体_GB2312" w:cs="楷体_GB2312"/>
              <w:bCs/>
              <w:sz w:val="32"/>
              <w:szCs w:val="32"/>
            </w:rPr>
            <w:t>（三）突发情况处置</w:t>
          </w:r>
          <w:r>
            <w:rPr>
              <w:sz w:val="32"/>
              <w:szCs w:val="32"/>
            </w:rPr>
            <w:tab/>
          </w:r>
          <w:r>
            <w:rPr>
              <w:sz w:val="32"/>
              <w:szCs w:val="32"/>
            </w:rPr>
            <w:fldChar w:fldCharType="begin"/>
          </w:r>
          <w:r>
            <w:rPr>
              <w:sz w:val="32"/>
              <w:szCs w:val="32"/>
            </w:rPr>
            <w:instrText xml:space="preserve"> PAGEREF _Toc5461 \h </w:instrText>
          </w:r>
          <w:r>
            <w:rPr>
              <w:sz w:val="32"/>
              <w:szCs w:val="32"/>
            </w:rPr>
            <w:fldChar w:fldCharType="separate"/>
          </w:r>
          <w:r>
            <w:rPr>
              <w:sz w:val="32"/>
              <w:szCs w:val="32"/>
            </w:rPr>
            <w:t xml:space="preserve">- </w:t>
          </w:r>
          <w:r>
            <w:rPr>
              <w:rFonts w:ascii="Times New Roman" w:hAnsi="Times New Roman"/>
              <w:sz w:val="32"/>
              <w:szCs w:val="32"/>
            </w:rPr>
            <w:t>16</w:t>
          </w:r>
          <w:r>
            <w:rPr>
              <w:sz w:val="32"/>
              <w:szCs w:val="32"/>
            </w:rPr>
            <w:t xml:space="preserve"> -</w:t>
          </w:r>
          <w:r>
            <w:rPr>
              <w:sz w:val="32"/>
              <w:szCs w:val="32"/>
            </w:rPr>
            <w:fldChar w:fldCharType="end"/>
          </w:r>
          <w:r>
            <w:rPr>
              <w:sz w:val="32"/>
              <w:szCs w:val="32"/>
            </w:rPr>
            <w:fldChar w:fldCharType="end"/>
          </w:r>
        </w:p>
        <w:p w14:paraId="26580441">
          <w:pPr>
            <w:spacing w:after="160" w:line="480" w:lineRule="exact"/>
            <w:rPr>
              <w:b/>
              <w:sz w:val="32"/>
              <w:szCs w:val="32"/>
            </w:rPr>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宋体" w:hAnsi="宋体" w:cs="宋体"/>
              <w:sz w:val="32"/>
              <w:szCs w:val="32"/>
            </w:rPr>
            <w:fldChar w:fldCharType="end"/>
          </w:r>
        </w:p>
      </w:sdtContent>
    </w:sdt>
    <w:p w14:paraId="19A7E5D7">
      <w:pPr>
        <w:spacing w:after="160" w:line="560" w:lineRule="exact"/>
        <w:ind w:firstLine="640" w:firstLineChars="200"/>
        <w:outlineLvl w:val="0"/>
        <w:rPr>
          <w:rFonts w:hint="eastAsia" w:ascii="黑体" w:hAnsi="黑体" w:eastAsia="黑体" w:cs="黑体"/>
          <w:bCs/>
          <w:sz w:val="32"/>
          <w:szCs w:val="32"/>
        </w:rPr>
      </w:pPr>
      <w:bookmarkStart w:id="1" w:name="_Toc17199"/>
      <w:bookmarkStart w:id="2" w:name="_Toc15148"/>
      <w:bookmarkStart w:id="3" w:name="_Toc17820"/>
      <w:bookmarkStart w:id="4" w:name="_Toc4758"/>
      <w:bookmarkStart w:id="5" w:name="_Toc2878"/>
      <w:bookmarkStart w:id="6" w:name="_Toc141450635"/>
      <w:bookmarkStart w:id="7" w:name="_Toc8697"/>
      <w:r>
        <w:rPr>
          <w:rFonts w:hint="eastAsia" w:ascii="黑体" w:hAnsi="黑体" w:eastAsia="黑体" w:cs="黑体"/>
          <w:bCs/>
          <w:sz w:val="32"/>
          <w:szCs w:val="32"/>
        </w:rPr>
        <w:t>一、技术描述</w:t>
      </w:r>
      <w:bookmarkEnd w:id="0"/>
      <w:bookmarkEnd w:id="1"/>
      <w:bookmarkEnd w:id="2"/>
      <w:bookmarkEnd w:id="3"/>
      <w:bookmarkEnd w:id="4"/>
      <w:bookmarkEnd w:id="5"/>
      <w:bookmarkEnd w:id="6"/>
      <w:bookmarkEnd w:id="7"/>
    </w:p>
    <w:p w14:paraId="592933BC">
      <w:pPr>
        <w:spacing w:line="560" w:lineRule="exact"/>
        <w:ind w:firstLine="640" w:firstLineChars="200"/>
        <w:outlineLvl w:val="1"/>
        <w:rPr>
          <w:rFonts w:hint="eastAsia" w:ascii="楷体_GB2312" w:hAnsi="楷体_GB2312" w:eastAsia="楷体_GB2312" w:cs="楷体_GB2312"/>
          <w:bCs/>
          <w:sz w:val="32"/>
          <w:szCs w:val="32"/>
        </w:rPr>
      </w:pPr>
      <w:bookmarkStart w:id="8" w:name="_Toc141450636"/>
      <w:bookmarkStart w:id="9" w:name="_Toc10571"/>
      <w:bookmarkStart w:id="10" w:name="_Toc9953"/>
      <w:bookmarkStart w:id="11" w:name="_Toc13573"/>
      <w:bookmarkStart w:id="12" w:name="_Toc26077"/>
      <w:bookmarkStart w:id="13" w:name="_Toc13798"/>
      <w:bookmarkStart w:id="14" w:name="_Toc5099"/>
      <w:r>
        <w:rPr>
          <w:rFonts w:hint="eastAsia" w:ascii="楷体_GB2312" w:hAnsi="楷体_GB2312" w:eastAsia="楷体_GB2312" w:cs="楷体_GB2312"/>
          <w:bCs/>
          <w:sz w:val="32"/>
          <w:szCs w:val="32"/>
        </w:rPr>
        <w:t>（一）</w:t>
      </w:r>
      <w:bookmarkEnd w:id="8"/>
      <w:bookmarkEnd w:id="9"/>
      <w:r>
        <w:rPr>
          <w:rFonts w:hint="eastAsia" w:ascii="楷体_GB2312" w:hAnsi="楷体_GB2312" w:eastAsia="楷体_GB2312" w:cs="楷体_GB2312"/>
          <w:bCs/>
          <w:sz w:val="32"/>
          <w:szCs w:val="32"/>
        </w:rPr>
        <w:t>项目概要</w:t>
      </w:r>
      <w:bookmarkEnd w:id="10"/>
      <w:bookmarkEnd w:id="11"/>
      <w:bookmarkEnd w:id="12"/>
      <w:bookmarkEnd w:id="13"/>
      <w:bookmarkEnd w:id="14"/>
    </w:p>
    <w:p w14:paraId="1CB289D7">
      <w:pPr>
        <w:widowControl/>
        <w:kinsoku w:val="0"/>
        <w:autoSpaceDE w:val="0"/>
        <w:autoSpaceDN w:val="0"/>
        <w:adjustRightInd w:val="0"/>
        <w:snapToGrid w:val="0"/>
        <w:spacing w:line="560" w:lineRule="exact"/>
        <w:ind w:firstLine="640" w:firstLineChars="200"/>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互联网营销是指在数字化信息平台上，运用网络的交互性与传播公信力，对企业产品进行多平台营销推广。比赛中对选手的技能要求主要包括：市场信息分析、直播规划、脚本策划、创建直播、直播装修、直播推广、直播售卖、直播互动、直播复盘等。</w:t>
      </w:r>
    </w:p>
    <w:p w14:paraId="085ECF15">
      <w:pPr>
        <w:spacing w:line="560" w:lineRule="exact"/>
        <w:ind w:firstLine="640" w:firstLineChars="200"/>
        <w:outlineLvl w:val="1"/>
        <w:rPr>
          <w:rFonts w:hint="eastAsia" w:ascii="楷体_GB2312" w:hAnsi="楷体_GB2312" w:eastAsia="楷体_GB2312" w:cs="楷体_GB2312"/>
          <w:bCs/>
          <w:sz w:val="32"/>
          <w:szCs w:val="32"/>
        </w:rPr>
      </w:pPr>
      <w:bookmarkStart w:id="15" w:name="_Toc1129"/>
      <w:bookmarkStart w:id="16" w:name="_Toc15306"/>
      <w:bookmarkStart w:id="17" w:name="_Toc22481"/>
      <w:bookmarkStart w:id="18" w:name="_Toc13139"/>
      <w:bookmarkStart w:id="19" w:name="_Toc141450637"/>
      <w:bookmarkStart w:id="20" w:name="_Toc26810"/>
      <w:bookmarkStart w:id="21" w:name="_Toc26951"/>
      <w:r>
        <w:rPr>
          <w:rFonts w:hint="eastAsia" w:ascii="楷体_GB2312" w:hAnsi="楷体_GB2312" w:eastAsia="楷体_GB2312" w:cs="楷体_GB2312"/>
          <w:bCs/>
          <w:sz w:val="32"/>
          <w:szCs w:val="32"/>
        </w:rPr>
        <w:t>（二）基本知识与能力要求</w:t>
      </w:r>
      <w:bookmarkEnd w:id="15"/>
      <w:bookmarkEnd w:id="16"/>
      <w:bookmarkEnd w:id="17"/>
      <w:bookmarkEnd w:id="18"/>
      <w:bookmarkEnd w:id="19"/>
      <w:bookmarkEnd w:id="20"/>
      <w:bookmarkEnd w:id="21"/>
    </w:p>
    <w:tbl>
      <w:tblPr>
        <w:tblStyle w:val="16"/>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6929"/>
        <w:gridCol w:w="1701"/>
      </w:tblGrid>
      <w:tr w14:paraId="3F1D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7621" w:type="dxa"/>
            <w:gridSpan w:val="2"/>
            <w:tcBorders>
              <w:top w:val="single" w:color="auto" w:sz="4" w:space="0"/>
              <w:left w:val="single" w:color="auto" w:sz="4" w:space="0"/>
              <w:bottom w:val="single" w:color="auto" w:sz="4" w:space="0"/>
              <w:right w:val="single" w:color="auto" w:sz="4" w:space="0"/>
            </w:tcBorders>
          </w:tcPr>
          <w:p w14:paraId="383B012A">
            <w:pPr>
              <w:pStyle w:val="22"/>
              <w:spacing w:before="156" w:beforeLines="50" w:after="156" w:afterLines="50" w:line="560" w:lineRule="exact"/>
              <w:jc w:val="center"/>
              <w:rPr>
                <w:rFonts w:hint="eastAsia" w:ascii="仿宋" w:hAnsi="仿宋" w:eastAsia="仿宋" w:cs="仿宋"/>
                <w:b/>
                <w:caps/>
                <w:color w:val="auto"/>
                <w:sz w:val="24"/>
                <w:lang w:eastAsia="zh-CN"/>
              </w:rPr>
            </w:pPr>
            <w:r>
              <w:rPr>
                <w:rFonts w:hint="eastAsia" w:ascii="仿宋" w:hAnsi="仿宋" w:eastAsia="仿宋" w:cs="仿宋"/>
                <w:b/>
                <w:bCs/>
                <w:color w:val="auto"/>
                <w:kern w:val="2"/>
                <w:sz w:val="24"/>
                <w:lang w:val="en-US" w:eastAsia="zh-CN"/>
              </w:rPr>
              <w:t>相关要求</w:t>
            </w:r>
          </w:p>
        </w:tc>
        <w:tc>
          <w:tcPr>
            <w:tcW w:w="1701" w:type="dxa"/>
            <w:tcBorders>
              <w:top w:val="single" w:color="auto" w:sz="4" w:space="0"/>
              <w:left w:val="single" w:color="auto" w:sz="4" w:space="0"/>
              <w:bottom w:val="single" w:color="auto" w:sz="4" w:space="0"/>
              <w:right w:val="single" w:color="auto" w:sz="4" w:space="0"/>
            </w:tcBorders>
          </w:tcPr>
          <w:p w14:paraId="4AA88C5D">
            <w:pPr>
              <w:pStyle w:val="22"/>
              <w:spacing w:before="156" w:beforeLines="50" w:after="156" w:afterLines="50" w:line="560" w:lineRule="exact"/>
              <w:rPr>
                <w:rFonts w:hint="eastAsia" w:ascii="仿宋" w:hAnsi="仿宋" w:eastAsia="仿宋" w:cs="仿宋"/>
                <w:b/>
                <w:caps/>
                <w:color w:val="auto"/>
                <w:sz w:val="24"/>
              </w:rPr>
            </w:pPr>
            <w:r>
              <w:rPr>
                <w:rFonts w:hint="eastAsia" w:ascii="仿宋" w:hAnsi="仿宋" w:eastAsia="仿宋" w:cs="仿宋"/>
                <w:b/>
                <w:bCs/>
                <w:color w:val="auto"/>
                <w:kern w:val="2"/>
                <w:sz w:val="24"/>
                <w:lang w:val="en-US" w:eastAsia="zh-CN"/>
              </w:rPr>
              <w:t>权重比例 (%)</w:t>
            </w:r>
          </w:p>
        </w:tc>
      </w:tr>
      <w:tr w14:paraId="13F1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7621" w:type="dxa"/>
            <w:gridSpan w:val="2"/>
            <w:tcBorders>
              <w:top w:val="single" w:color="auto" w:sz="4" w:space="0"/>
              <w:left w:val="single" w:color="auto" w:sz="4" w:space="0"/>
              <w:bottom w:val="single" w:color="auto" w:sz="4" w:space="0"/>
              <w:right w:val="single" w:color="auto" w:sz="4" w:space="0"/>
            </w:tcBorders>
            <w:vAlign w:val="center"/>
          </w:tcPr>
          <w:p w14:paraId="6D84D285">
            <w:pPr>
              <w:spacing w:before="156" w:beforeLines="50" w:after="156" w:afterLines="50" w:line="560" w:lineRule="exact"/>
              <w:jc w:val="center"/>
              <w:rPr>
                <w:rFonts w:hint="eastAsia" w:ascii="仿宋" w:hAnsi="仿宋" w:eastAsia="仿宋" w:cs="仿宋"/>
                <w:sz w:val="24"/>
              </w:rPr>
            </w:pPr>
            <w:r>
              <w:rPr>
                <w:rFonts w:hint="eastAsia" w:ascii="仿宋" w:hAnsi="仿宋" w:eastAsia="仿宋" w:cs="仿宋"/>
                <w:b/>
                <w:bCs/>
                <w:sz w:val="24"/>
              </w:rPr>
              <w:t>直播营销</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14:paraId="1B8D39DF">
            <w:pPr>
              <w:pStyle w:val="22"/>
              <w:spacing w:before="156" w:beforeLines="50" w:after="156" w:afterLines="50" w:line="560" w:lineRule="exact"/>
              <w:jc w:val="center"/>
              <w:rPr>
                <w:rFonts w:hint="eastAsia" w:ascii="仿宋" w:hAnsi="仿宋" w:eastAsia="仿宋" w:cs="仿宋"/>
                <w:b/>
                <w:color w:val="auto"/>
                <w:sz w:val="24"/>
                <w:lang w:val="en-US" w:eastAsia="zh-CN"/>
              </w:rPr>
            </w:pPr>
            <w:r>
              <w:rPr>
                <w:rFonts w:ascii="Times New Roman" w:hAnsi="Times New Roman" w:eastAsia="仿宋"/>
                <w:b/>
                <w:color w:val="auto"/>
                <w:sz w:val="24"/>
                <w:lang w:val="en-US" w:eastAsia="zh-CN"/>
              </w:rPr>
              <w:t>100</w:t>
            </w:r>
          </w:p>
        </w:tc>
      </w:tr>
      <w:tr w14:paraId="08BA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92" w:type="dxa"/>
            <w:tcBorders>
              <w:top w:val="single" w:color="auto" w:sz="4" w:space="0"/>
              <w:left w:val="single" w:color="auto" w:sz="4" w:space="0"/>
              <w:bottom w:val="single" w:color="auto" w:sz="4" w:space="0"/>
              <w:right w:val="single" w:color="auto" w:sz="4" w:space="0"/>
            </w:tcBorders>
            <w:vAlign w:val="center"/>
          </w:tcPr>
          <w:p w14:paraId="3FA17034">
            <w:pPr>
              <w:pStyle w:val="22"/>
              <w:spacing w:line="560" w:lineRule="exact"/>
              <w:jc w:val="center"/>
              <w:rPr>
                <w:rFonts w:hint="eastAsia" w:ascii="仿宋" w:hAnsi="仿宋" w:eastAsia="仿宋" w:cs="仿宋"/>
                <w:b/>
                <w:bCs/>
                <w:color w:val="auto"/>
                <w:kern w:val="2"/>
                <w:sz w:val="24"/>
                <w:lang w:val="en-US" w:eastAsia="zh-CN"/>
              </w:rPr>
            </w:pPr>
            <w:r>
              <w:rPr>
                <w:rFonts w:hint="eastAsia" w:ascii="仿宋" w:hAnsi="仿宋" w:eastAsia="仿宋" w:cs="仿宋"/>
                <w:b/>
                <w:bCs/>
                <w:color w:val="auto"/>
                <w:kern w:val="2"/>
                <w:sz w:val="24"/>
                <w:lang w:val="en-US" w:eastAsia="zh-CN"/>
              </w:rPr>
              <w:t>基本知识</w:t>
            </w:r>
          </w:p>
        </w:tc>
        <w:tc>
          <w:tcPr>
            <w:tcW w:w="6929" w:type="dxa"/>
            <w:tcBorders>
              <w:top w:val="single" w:color="auto" w:sz="4" w:space="0"/>
              <w:left w:val="single" w:color="auto" w:sz="4" w:space="0"/>
              <w:bottom w:val="single" w:color="auto" w:sz="4" w:space="0"/>
              <w:right w:val="single" w:color="auto" w:sz="4" w:space="0"/>
            </w:tcBorders>
            <w:vAlign w:val="center"/>
          </w:tcPr>
          <w:p w14:paraId="2F5A4BBD">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市场信息的分析方法</w:t>
            </w:r>
          </w:p>
          <w:p w14:paraId="36186B20">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选品方案制定方法</w:t>
            </w:r>
          </w:p>
          <w:p w14:paraId="61D27FD1">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商品价格分析方法</w:t>
            </w:r>
          </w:p>
          <w:p w14:paraId="637E62EB">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直播规划要点</w:t>
            </w:r>
          </w:p>
          <w:p w14:paraId="02A5C417">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脚本策划要素</w:t>
            </w:r>
          </w:p>
          <w:p w14:paraId="2C605D5B">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直播推广渠道选择方法</w:t>
            </w:r>
          </w:p>
          <w:p w14:paraId="07EA2BFB">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直播复盘指标和原则</w:t>
            </w:r>
          </w:p>
          <w:p w14:paraId="3DA5DDFA">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直播开场技巧</w:t>
            </w:r>
          </w:p>
          <w:p w14:paraId="1F419697">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个人情绪管控技巧</w:t>
            </w:r>
          </w:p>
          <w:p w14:paraId="323ADF5F">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直播间气氛调动技巧</w:t>
            </w:r>
          </w:p>
          <w:p w14:paraId="1798020D">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直播互动的常见方式</w:t>
            </w:r>
          </w:p>
          <w:p w14:paraId="3D936B97">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直播售卖技巧及方法</w:t>
            </w:r>
          </w:p>
          <w:p w14:paraId="5B93428A">
            <w:pPr>
              <w:pStyle w:val="26"/>
              <w:spacing w:line="300" w:lineRule="exact"/>
              <w:ind w:left="102"/>
              <w:rPr>
                <w:rFonts w:hint="eastAsia" w:ascii="仿宋" w:hAnsi="仿宋" w:eastAsia="仿宋" w:cs="Times New Roman"/>
                <w:lang w:eastAsia="zh-CN"/>
              </w:rPr>
            </w:pPr>
            <w:r>
              <w:rPr>
                <w:rFonts w:hint="eastAsia" w:ascii="仿宋" w:hAnsi="仿宋" w:eastAsia="仿宋" w:cs="Times New Roman"/>
                <w:lang w:eastAsia="zh-CN"/>
              </w:rPr>
              <w:t>直播收尾思路</w:t>
            </w:r>
          </w:p>
          <w:p w14:paraId="3B6C9B4C">
            <w:pPr>
              <w:pStyle w:val="26"/>
              <w:spacing w:line="300" w:lineRule="exact"/>
              <w:ind w:left="102"/>
              <w:rPr>
                <w:rStyle w:val="25"/>
                <w:rFonts w:hint="eastAsia" w:ascii="仿宋" w:hAnsi="仿宋" w:eastAsia="仿宋" w:cs="仿宋"/>
                <w:color w:val="000000"/>
                <w:lang w:eastAsia="zh-CN"/>
              </w:rPr>
            </w:pPr>
            <w:r>
              <w:rPr>
                <w:rFonts w:hint="eastAsia" w:ascii="仿宋" w:hAnsi="仿宋" w:eastAsia="仿宋" w:cs="Times New Roman"/>
                <w:lang w:eastAsia="zh-CN"/>
              </w:rPr>
              <w:t>直播间突发状况处理方法</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508E936B">
            <w:pPr>
              <w:spacing w:line="560" w:lineRule="exact"/>
              <w:jc w:val="left"/>
              <w:rPr>
                <w:rFonts w:hint="eastAsia" w:ascii="仿宋" w:hAnsi="仿宋" w:eastAsia="仿宋" w:cs="仿宋"/>
                <w:b/>
                <w:sz w:val="24"/>
                <w:lang w:val="en-GB"/>
              </w:rPr>
            </w:pPr>
          </w:p>
        </w:tc>
      </w:tr>
      <w:tr w14:paraId="75E9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92" w:type="dxa"/>
            <w:tcBorders>
              <w:top w:val="single" w:color="auto" w:sz="4" w:space="0"/>
              <w:left w:val="single" w:color="auto" w:sz="4" w:space="0"/>
              <w:bottom w:val="single" w:color="auto" w:sz="4" w:space="0"/>
              <w:right w:val="single" w:color="auto" w:sz="4" w:space="0"/>
            </w:tcBorders>
            <w:vAlign w:val="center"/>
          </w:tcPr>
          <w:p w14:paraId="6BD331FF">
            <w:pPr>
              <w:pStyle w:val="22"/>
              <w:spacing w:line="560" w:lineRule="exact"/>
              <w:jc w:val="center"/>
              <w:rPr>
                <w:rFonts w:hint="eastAsia" w:ascii="仿宋" w:hAnsi="仿宋" w:eastAsia="仿宋" w:cs="仿宋"/>
                <w:b/>
                <w:bCs/>
                <w:color w:val="auto"/>
                <w:kern w:val="2"/>
                <w:sz w:val="24"/>
                <w:lang w:val="en-US" w:eastAsia="zh-CN"/>
              </w:rPr>
            </w:pPr>
            <w:r>
              <w:rPr>
                <w:rFonts w:hint="eastAsia" w:ascii="仿宋" w:hAnsi="仿宋" w:eastAsia="仿宋" w:cs="仿宋"/>
                <w:b/>
                <w:bCs/>
                <w:color w:val="auto"/>
                <w:kern w:val="2"/>
                <w:sz w:val="24"/>
                <w:lang w:val="en-US" w:eastAsia="zh-CN"/>
              </w:rPr>
              <w:t>工作能力</w:t>
            </w:r>
          </w:p>
        </w:tc>
        <w:tc>
          <w:tcPr>
            <w:tcW w:w="6929" w:type="dxa"/>
            <w:tcBorders>
              <w:top w:val="single" w:color="auto" w:sz="4" w:space="0"/>
              <w:left w:val="single" w:color="auto" w:sz="4" w:space="0"/>
              <w:bottom w:val="single" w:color="auto" w:sz="4" w:space="0"/>
              <w:right w:val="single" w:color="auto" w:sz="4" w:space="0"/>
            </w:tcBorders>
            <w:vAlign w:val="center"/>
          </w:tcPr>
          <w:p w14:paraId="2031F4B5">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市场信息分析的能力</w:t>
            </w:r>
          </w:p>
          <w:p w14:paraId="37857AFA">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直播规划的能力</w:t>
            </w:r>
          </w:p>
          <w:p w14:paraId="16CB9DA4">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脚本策划的能力</w:t>
            </w:r>
          </w:p>
          <w:p w14:paraId="1C6B67BC">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直播间视觉营销设计的能力</w:t>
            </w:r>
          </w:p>
          <w:p w14:paraId="5F7751E4">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直播推广的能力</w:t>
            </w:r>
          </w:p>
          <w:p w14:paraId="7F8D7350">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直播数据分析的能力</w:t>
            </w:r>
          </w:p>
          <w:p w14:paraId="708DBBF2">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个人情绪管理的能力</w:t>
            </w:r>
          </w:p>
          <w:p w14:paraId="087024BC">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直播间氛围调动的能力</w:t>
            </w:r>
          </w:p>
          <w:p w14:paraId="513DF07A">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商品售卖的能力</w:t>
            </w:r>
          </w:p>
          <w:p w14:paraId="503F4A4B">
            <w:pPr>
              <w:pStyle w:val="26"/>
              <w:spacing w:line="320" w:lineRule="exact"/>
              <w:ind w:left="102"/>
              <w:rPr>
                <w:rStyle w:val="25"/>
                <w:rFonts w:hint="eastAsia" w:ascii="仿宋" w:hAnsi="仿宋" w:eastAsia="仿宋" w:cs="仿宋"/>
                <w:color w:val="000000"/>
                <w:lang w:eastAsia="zh-CN"/>
              </w:rPr>
            </w:pPr>
            <w:r>
              <w:rPr>
                <w:rFonts w:hint="eastAsia" w:ascii="仿宋" w:hAnsi="仿宋" w:eastAsia="仿宋" w:cs="Times New Roman"/>
                <w:lang w:eastAsia="zh-CN"/>
              </w:rPr>
              <w:t>突发状况应变的能力</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2711EE26">
            <w:pPr>
              <w:spacing w:line="560" w:lineRule="exact"/>
              <w:jc w:val="left"/>
              <w:rPr>
                <w:rFonts w:hint="eastAsia" w:ascii="仿宋" w:hAnsi="仿宋" w:eastAsia="仿宋" w:cs="仿宋"/>
                <w:b/>
                <w:sz w:val="24"/>
                <w:lang w:val="en-GB"/>
              </w:rPr>
            </w:pPr>
          </w:p>
        </w:tc>
      </w:tr>
    </w:tbl>
    <w:p w14:paraId="6A5B735A">
      <w:pPr>
        <w:spacing w:line="560" w:lineRule="exact"/>
        <w:ind w:firstLine="640" w:firstLineChars="200"/>
        <w:outlineLvl w:val="1"/>
        <w:rPr>
          <w:rFonts w:hint="eastAsia" w:ascii="楷体_GB2312" w:hAnsi="楷体_GB2312" w:eastAsia="楷体_GB2312" w:cs="楷体_GB2312"/>
          <w:bCs/>
          <w:sz w:val="32"/>
          <w:szCs w:val="32"/>
        </w:rPr>
      </w:pPr>
      <w:bookmarkStart w:id="22" w:name="_Toc17793"/>
      <w:bookmarkStart w:id="23" w:name="_Toc10581"/>
      <w:bookmarkStart w:id="24" w:name="_Toc17469"/>
      <w:bookmarkStart w:id="25" w:name="_Toc10055"/>
      <w:bookmarkStart w:id="26" w:name="_Toc27265"/>
      <w:bookmarkStart w:id="27" w:name="_Toc31660"/>
      <w:bookmarkStart w:id="28" w:name="_Toc141450638"/>
      <w:bookmarkStart w:id="29" w:name="_Toc26710"/>
      <w:bookmarkStart w:id="30" w:name="_Toc17046"/>
      <w:bookmarkStart w:id="31" w:name="_Toc27562437"/>
      <w:bookmarkStart w:id="32" w:name="_Toc24410278"/>
      <w:r>
        <w:rPr>
          <w:rFonts w:hint="eastAsia" w:ascii="楷体_GB2312" w:hAnsi="楷体_GB2312" w:eastAsia="楷体_GB2312" w:cs="楷体_GB2312"/>
          <w:bCs/>
          <w:sz w:val="32"/>
          <w:szCs w:val="32"/>
        </w:rPr>
        <w:t>（三）竞赛形式与内容</w:t>
      </w:r>
      <w:bookmarkEnd w:id="22"/>
      <w:bookmarkEnd w:id="23"/>
      <w:bookmarkEnd w:id="24"/>
      <w:bookmarkEnd w:id="25"/>
      <w:bookmarkEnd w:id="26"/>
      <w:bookmarkEnd w:id="27"/>
    </w:p>
    <w:p w14:paraId="5165252D">
      <w:pPr>
        <w:widowControl/>
        <w:kinsoku w:val="0"/>
        <w:autoSpaceDE w:val="0"/>
        <w:autoSpaceDN w:val="0"/>
        <w:adjustRightInd w:val="0"/>
        <w:snapToGrid w:val="0"/>
        <w:spacing w:line="560" w:lineRule="exact"/>
        <w:ind w:firstLine="640" w:firstLineChars="200"/>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本赛项为个人赛，按《互联网营销师国家职业技能标准（</w:t>
      </w:r>
      <w:r>
        <w:rPr>
          <w:rFonts w:ascii="Times New Roman" w:hAnsi="Times New Roman" w:eastAsia="仿宋_GB2312"/>
          <w:color w:val="000000"/>
          <w:sz w:val="32"/>
          <w:szCs w:val="32"/>
        </w:rPr>
        <w:t>2021</w:t>
      </w:r>
      <w:r>
        <w:rPr>
          <w:rFonts w:hint="eastAsia" w:ascii="仿宋_GB2312" w:hAnsi="仿宋_GB2312" w:eastAsia="仿宋_GB2312" w:cs="仿宋_GB2312"/>
          <w:color w:val="000000"/>
          <w:sz w:val="32"/>
          <w:szCs w:val="32"/>
        </w:rPr>
        <w:t>年版）》三级（高级工）标准进行命题，赛事包括互联网营销职业技能测评和直播营销策划实施共计两场，采用线下集中模式进行。</w:t>
      </w:r>
    </w:p>
    <w:p w14:paraId="30501540">
      <w:pPr>
        <w:widowControl/>
        <w:kinsoku w:val="0"/>
        <w:autoSpaceDE w:val="0"/>
        <w:autoSpaceDN w:val="0"/>
        <w:adjustRightInd w:val="0"/>
        <w:snapToGrid w:val="0"/>
        <w:spacing w:line="560" w:lineRule="exact"/>
        <w:ind w:firstLine="640" w:firstLineChars="200"/>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互联网营销职业技能测评赛段为知识考核赛段，包含互联网营销新技术、新技能和职业素质考核；直播营销策划实施赛段为实操考核。</w:t>
      </w:r>
    </w:p>
    <w:p w14:paraId="0B4C134B">
      <w:pPr>
        <w:widowControl/>
        <w:kinsoku w:val="0"/>
        <w:autoSpaceDE w:val="0"/>
        <w:autoSpaceDN w:val="0"/>
        <w:adjustRightInd w:val="0"/>
        <w:snapToGrid w:val="0"/>
        <w:spacing w:line="560" w:lineRule="exact"/>
        <w:ind w:firstLine="640" w:firstLineChars="200"/>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第一赛段：互联网营销职业技能测评。考核时间</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0</w:t>
      </w:r>
      <w:r>
        <w:rPr>
          <w:rFonts w:hint="eastAsia" w:ascii="仿宋_GB2312" w:hAnsi="仿宋_GB2312" w:eastAsia="仿宋_GB2312" w:cs="仿宋_GB2312"/>
          <w:color w:val="000000"/>
          <w:sz w:val="32"/>
          <w:szCs w:val="32"/>
        </w:rPr>
        <w:t xml:space="preserve">分钟，满分 </w:t>
      </w:r>
      <w:r>
        <w:rPr>
          <w:rFonts w:ascii="Times New Roman" w:hAnsi="Times New Roman" w:eastAsia="仿宋_GB2312"/>
          <w:color w:val="000000"/>
          <w:sz w:val="32"/>
          <w:szCs w:val="32"/>
        </w:rPr>
        <w:t>100</w:t>
      </w:r>
      <w:r>
        <w:rPr>
          <w:rFonts w:hint="eastAsia" w:ascii="仿宋_GB2312" w:hAnsi="仿宋_GB2312" w:eastAsia="仿宋_GB2312" w:cs="仿宋_GB2312"/>
          <w:color w:val="000000"/>
          <w:sz w:val="32"/>
          <w:szCs w:val="32"/>
        </w:rPr>
        <w:t xml:space="preserve"> 分, 占总分</w:t>
      </w:r>
      <w:r>
        <w:rPr>
          <w:rFonts w:ascii="Times New Roman" w:hAnsi="Times New Roman" w:eastAsia="仿宋_GB2312"/>
          <w:color w:val="000000"/>
          <w:sz w:val="32"/>
          <w:szCs w:val="32"/>
        </w:rPr>
        <w:t>30</w:t>
      </w:r>
      <w:r>
        <w:rPr>
          <w:rFonts w:hint="eastAsia" w:ascii="仿宋_GB2312" w:hAnsi="仿宋_GB2312" w:eastAsia="仿宋_GB2312" w:cs="仿宋_GB2312"/>
          <w:color w:val="000000"/>
          <w:sz w:val="32"/>
          <w:szCs w:val="32"/>
        </w:rPr>
        <w:t>%。 此赛段为知识考核赛段，全面评价参赛选手对新时代互联网营销知识与职业能力的理解和认识。</w:t>
      </w:r>
    </w:p>
    <w:p w14:paraId="24670021">
      <w:pPr>
        <w:widowControl/>
        <w:kinsoku w:val="0"/>
        <w:autoSpaceDE w:val="0"/>
        <w:autoSpaceDN w:val="0"/>
        <w:adjustRightInd w:val="0"/>
        <w:snapToGrid w:val="0"/>
        <w:spacing w:line="560" w:lineRule="exact"/>
        <w:ind w:firstLine="640" w:firstLineChars="200"/>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第二赛段：直播营销策划实施。考核时间</w:t>
      </w:r>
      <w:r>
        <w:rPr>
          <w:rFonts w:ascii="Times New Roman" w:hAnsi="Times New Roman" w:eastAsia="仿宋_GB2312"/>
          <w:color w:val="000000"/>
          <w:sz w:val="32"/>
          <w:szCs w:val="32"/>
        </w:rPr>
        <w:t>120</w:t>
      </w:r>
      <w:r>
        <w:rPr>
          <w:rFonts w:hint="eastAsia" w:ascii="仿宋_GB2312" w:hAnsi="仿宋_GB2312" w:eastAsia="仿宋_GB2312" w:cs="仿宋_GB2312"/>
          <w:color w:val="000000"/>
          <w:sz w:val="32"/>
          <w:szCs w:val="32"/>
        </w:rPr>
        <w:t>分钟，满分</w:t>
      </w:r>
      <w:r>
        <w:rPr>
          <w:rFonts w:ascii="Times New Roman" w:hAnsi="Times New Roman" w:eastAsia="仿宋_GB2312"/>
          <w:color w:val="000000"/>
          <w:sz w:val="32"/>
          <w:szCs w:val="32"/>
        </w:rPr>
        <w:t>100</w:t>
      </w:r>
      <w:r>
        <w:rPr>
          <w:rFonts w:hint="eastAsia" w:ascii="仿宋_GB2312" w:hAnsi="仿宋_GB2312" w:eastAsia="仿宋_GB2312" w:cs="仿宋_GB2312"/>
          <w:color w:val="000000"/>
          <w:sz w:val="32"/>
          <w:szCs w:val="32"/>
        </w:rPr>
        <w:t>分，占总分</w:t>
      </w:r>
      <w:r>
        <w:rPr>
          <w:rFonts w:ascii="Times New Roman" w:hAnsi="Times New Roman" w:eastAsia="仿宋_GB2312"/>
          <w:color w:val="000000"/>
          <w:sz w:val="32"/>
          <w:szCs w:val="32"/>
        </w:rPr>
        <w:t>70</w:t>
      </w:r>
      <w:r>
        <w:rPr>
          <w:rFonts w:hint="eastAsia" w:ascii="仿宋_GB2312" w:hAnsi="仿宋_GB2312" w:eastAsia="仿宋_GB2312" w:cs="仿宋_GB2312"/>
          <w:color w:val="000000"/>
          <w:sz w:val="32"/>
          <w:szCs w:val="32"/>
        </w:rPr>
        <w:t>%。此赛段为实操考核赛段，参赛选手根据背景资料完成市场信息分析、直播规划、脚本策划、创建直播、直播装修、直播推广、直播复盘等任务，并根据背景资料完成直播售卖，包括直播开场、商品讲解、直播间互动、直播收尾等任务。</w:t>
      </w:r>
    </w:p>
    <w:p w14:paraId="2917F91D">
      <w:pPr>
        <w:spacing w:after="160" w:line="560" w:lineRule="exact"/>
        <w:ind w:firstLine="640" w:firstLineChars="200"/>
        <w:outlineLvl w:val="0"/>
        <w:rPr>
          <w:rFonts w:hint="eastAsia" w:ascii="黑体" w:hAnsi="黑体" w:eastAsia="黑体" w:cs="黑体"/>
          <w:bCs/>
          <w:sz w:val="32"/>
          <w:szCs w:val="32"/>
        </w:rPr>
      </w:pPr>
      <w:bookmarkStart w:id="33" w:name="_Toc1189"/>
      <w:bookmarkStart w:id="34" w:name="_Toc28365"/>
      <w:bookmarkStart w:id="35" w:name="_Toc14114"/>
      <w:bookmarkStart w:id="36" w:name="_Toc19435"/>
      <w:bookmarkStart w:id="37" w:name="_Toc29691"/>
      <w:r>
        <w:rPr>
          <w:rFonts w:hint="eastAsia" w:ascii="黑体" w:hAnsi="黑体" w:eastAsia="黑体" w:cs="黑体"/>
          <w:bCs/>
          <w:sz w:val="32"/>
          <w:szCs w:val="32"/>
        </w:rPr>
        <w:t>二、试题</w:t>
      </w:r>
      <w:bookmarkEnd w:id="28"/>
      <w:bookmarkEnd w:id="29"/>
      <w:bookmarkEnd w:id="30"/>
      <w:bookmarkEnd w:id="31"/>
      <w:r>
        <w:rPr>
          <w:rFonts w:hint="eastAsia" w:ascii="黑体" w:hAnsi="黑体" w:eastAsia="黑体" w:cs="黑体"/>
          <w:bCs/>
          <w:sz w:val="32"/>
          <w:szCs w:val="32"/>
        </w:rPr>
        <w:t>样题</w:t>
      </w:r>
      <w:bookmarkEnd w:id="33"/>
      <w:bookmarkEnd w:id="34"/>
      <w:bookmarkEnd w:id="35"/>
      <w:bookmarkEnd w:id="36"/>
      <w:bookmarkEnd w:id="37"/>
    </w:p>
    <w:p w14:paraId="10BAE21B">
      <w:pPr>
        <w:spacing w:line="560" w:lineRule="exact"/>
        <w:ind w:firstLine="640" w:firstLineChars="200"/>
        <w:outlineLvl w:val="1"/>
        <w:rPr>
          <w:rFonts w:hint="eastAsia" w:ascii="楷体_GB2312" w:hAnsi="楷体_GB2312" w:eastAsia="楷体_GB2312" w:cs="楷体_GB2312"/>
          <w:bCs/>
          <w:sz w:val="32"/>
          <w:szCs w:val="32"/>
        </w:rPr>
      </w:pPr>
      <w:bookmarkStart w:id="38" w:name="_Toc30437"/>
      <w:bookmarkStart w:id="39" w:name="_Toc21280"/>
      <w:bookmarkStart w:id="40" w:name="_Toc31580"/>
      <w:bookmarkStart w:id="41" w:name="_Toc27886"/>
      <w:bookmarkStart w:id="42" w:name="_Toc13632"/>
      <w:bookmarkStart w:id="43" w:name="_Toc26699778"/>
      <w:r>
        <w:rPr>
          <w:rFonts w:hint="eastAsia" w:ascii="楷体_GB2312" w:hAnsi="楷体_GB2312" w:eastAsia="楷体_GB2312" w:cs="楷体_GB2312"/>
          <w:bCs/>
          <w:sz w:val="32"/>
          <w:szCs w:val="32"/>
        </w:rPr>
        <w:t>（一）第一赛段：互联网营销职业技能测评</w:t>
      </w:r>
      <w:bookmarkEnd w:id="38"/>
      <w:bookmarkEnd w:id="39"/>
      <w:bookmarkEnd w:id="40"/>
      <w:bookmarkEnd w:id="41"/>
      <w:bookmarkEnd w:id="42"/>
    </w:p>
    <w:p w14:paraId="4746B751">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1</w:t>
      </w:r>
      <w:r>
        <w:rPr>
          <w:rFonts w:hint="eastAsia" w:ascii="仿宋_GB2312" w:hAnsi="仿宋_GB2312" w:eastAsia="仿宋_GB2312" w:cs="仿宋_GB2312"/>
          <w:color w:val="000000"/>
          <w:sz w:val="32"/>
          <w:szCs w:val="32"/>
        </w:rPr>
        <w:t>.单选题：</w:t>
      </w:r>
    </w:p>
    <w:p w14:paraId="37FD1CB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在短视频平台推广时，以下哪种内容最可能获得更高的自然流量（    ）</w:t>
      </w:r>
    </w:p>
    <w:p w14:paraId="0444A11C">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A</w:t>
      </w:r>
      <w:r>
        <w:rPr>
          <w:rFonts w:hint="eastAsia" w:ascii="仿宋_GB2312" w:hAnsi="仿宋_GB2312" w:eastAsia="仿宋_GB2312" w:cs="仿宋_GB2312"/>
          <w:color w:val="000000"/>
          <w:sz w:val="32"/>
          <w:szCs w:val="32"/>
        </w:rPr>
        <w:t>. 纯文字介绍产品功能</w:t>
      </w:r>
    </w:p>
    <w:p w14:paraId="57E55ADB">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B</w:t>
      </w:r>
      <w:r>
        <w:rPr>
          <w:rFonts w:hint="eastAsia" w:ascii="仿宋_GB2312" w:hAnsi="仿宋_GB2312" w:eastAsia="仿宋_GB2312" w:cs="仿宋_GB2312"/>
          <w:color w:val="000000"/>
          <w:sz w:val="32"/>
          <w:szCs w:val="32"/>
        </w:rPr>
        <w:t>. 高清产品展示+热门</w:t>
      </w:r>
      <w:r>
        <w:rPr>
          <w:rFonts w:ascii="Times New Roman" w:hAnsi="Times New Roman" w:eastAsia="仿宋_GB2312"/>
          <w:color w:val="000000"/>
          <w:sz w:val="32"/>
          <w:szCs w:val="32"/>
        </w:rPr>
        <w:t>BGM</w:t>
      </w:r>
      <w:r>
        <w:rPr>
          <w:rFonts w:hint="eastAsia" w:ascii="仿宋_GB2312" w:hAnsi="仿宋_GB2312" w:eastAsia="仿宋_GB2312" w:cs="仿宋_GB2312"/>
          <w:color w:val="000000"/>
          <w:sz w:val="32"/>
          <w:szCs w:val="32"/>
        </w:rPr>
        <w:t>+悬念标题</w:t>
      </w:r>
    </w:p>
    <w:p w14:paraId="14DB596E">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C</w:t>
      </w:r>
      <w:r>
        <w:rPr>
          <w:rFonts w:hint="eastAsia" w:ascii="仿宋_GB2312" w:hAnsi="仿宋_GB2312" w:eastAsia="仿宋_GB2312" w:cs="仿宋_GB2312"/>
          <w:color w:val="000000"/>
          <w:sz w:val="32"/>
          <w:szCs w:val="32"/>
        </w:rPr>
        <w:t>. 长篇幅讲解品牌历史</w:t>
      </w:r>
    </w:p>
    <w:p w14:paraId="3D217A3C">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D</w:t>
      </w:r>
      <w:r>
        <w:rPr>
          <w:rFonts w:hint="eastAsia" w:ascii="仿宋_GB2312" w:hAnsi="仿宋_GB2312" w:eastAsia="仿宋_GB2312" w:cs="仿宋_GB2312"/>
          <w:color w:val="000000"/>
          <w:sz w:val="32"/>
          <w:szCs w:val="32"/>
        </w:rPr>
        <w:t>. 静态图片轮播</w:t>
      </w:r>
    </w:p>
    <w:p w14:paraId="751D77A2">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2</w:t>
      </w:r>
      <w:r>
        <w:rPr>
          <w:rFonts w:hint="eastAsia" w:ascii="仿宋_GB2312" w:hAnsi="仿宋_GB2312" w:eastAsia="仿宋_GB2312" w:cs="仿宋_GB2312"/>
          <w:color w:val="000000"/>
          <w:sz w:val="32"/>
          <w:szCs w:val="32"/>
        </w:rPr>
        <w:t>.多选题：</w:t>
      </w:r>
    </w:p>
    <w:p w14:paraId="3985871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直播带货中，以下哪些做法能有效提升转化率？（ ）</w:t>
      </w:r>
    </w:p>
    <w:p w14:paraId="529D84DB">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A</w:t>
      </w:r>
      <w:r>
        <w:rPr>
          <w:rFonts w:hint="eastAsia" w:ascii="仿宋_GB2312" w:hAnsi="仿宋_GB2312" w:eastAsia="仿宋_GB2312" w:cs="仿宋_GB2312"/>
          <w:color w:val="000000"/>
          <w:sz w:val="32"/>
          <w:szCs w:val="32"/>
        </w:rPr>
        <w:t>. 频繁强调“限量秒杀”制造紧迫感</w:t>
      </w:r>
    </w:p>
    <w:p w14:paraId="7FFEA22B">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B</w:t>
      </w:r>
      <w:r>
        <w:rPr>
          <w:rFonts w:hint="eastAsia" w:ascii="仿宋_GB2312" w:hAnsi="仿宋_GB2312" w:eastAsia="仿宋_GB2312" w:cs="仿宋_GB2312"/>
          <w:color w:val="000000"/>
          <w:sz w:val="32"/>
          <w:szCs w:val="32"/>
        </w:rPr>
        <w:t>. 全程只讲解产品参数，不互动</w:t>
      </w:r>
    </w:p>
    <w:p w14:paraId="66A038F0">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C</w:t>
      </w:r>
      <w:r>
        <w:rPr>
          <w:rFonts w:hint="eastAsia" w:ascii="仿宋_GB2312" w:hAnsi="仿宋_GB2312" w:eastAsia="仿宋_GB2312" w:cs="仿宋_GB2312"/>
          <w:color w:val="000000"/>
          <w:sz w:val="32"/>
          <w:szCs w:val="32"/>
        </w:rPr>
        <w:t>. 设置直播间专属优惠券</w:t>
      </w:r>
    </w:p>
    <w:p w14:paraId="08A30A67">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D</w:t>
      </w:r>
      <w:r>
        <w:rPr>
          <w:rFonts w:hint="eastAsia" w:ascii="仿宋_GB2312" w:hAnsi="仿宋_GB2312" w:eastAsia="仿宋_GB2312" w:cs="仿宋_GB2312"/>
          <w:color w:val="000000"/>
          <w:sz w:val="32"/>
          <w:szCs w:val="32"/>
        </w:rPr>
        <w:t>. 忽略弹幕提问，按固定流程推进</w:t>
      </w:r>
    </w:p>
    <w:p w14:paraId="16EE6CE2">
      <w:pPr>
        <w:spacing w:line="560" w:lineRule="exact"/>
        <w:ind w:firstLine="640" w:firstLineChars="200"/>
        <w:rPr>
          <w:rFonts w:hint="eastAsia" w:ascii="仿宋_GB2312" w:hAnsi="仿宋_GB2312" w:eastAsia="仿宋_GB2312" w:cs="仿宋_GB2312"/>
          <w:color w:val="000000"/>
          <w:sz w:val="32"/>
          <w:szCs w:val="32"/>
        </w:rPr>
      </w:pPr>
      <w:r>
        <w:rPr>
          <w:rFonts w:ascii="Times New Roman" w:hAnsi="Times New Roman" w:eastAsia="仿宋_GB2312"/>
          <w:color w:val="000000"/>
          <w:sz w:val="32"/>
          <w:szCs w:val="32"/>
        </w:rPr>
        <w:t>3</w:t>
      </w:r>
      <w:r>
        <w:rPr>
          <w:rFonts w:hint="eastAsia" w:ascii="仿宋_GB2312" w:hAnsi="仿宋_GB2312" w:eastAsia="仿宋_GB2312" w:cs="仿宋_GB2312"/>
          <w:color w:val="000000"/>
          <w:sz w:val="32"/>
          <w:szCs w:val="32"/>
        </w:rPr>
        <w:t>.判断题：</w:t>
      </w:r>
    </w:p>
    <w:p w14:paraId="3F64930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在私域流量运营中，微信群发广告的频率越高，用户转化效果越好。（  ）</w:t>
      </w:r>
    </w:p>
    <w:p w14:paraId="69DDE077">
      <w:pPr>
        <w:spacing w:line="560" w:lineRule="exact"/>
        <w:ind w:firstLine="640" w:firstLineChars="200"/>
        <w:outlineLvl w:val="1"/>
        <w:rPr>
          <w:rFonts w:hint="eastAsia" w:ascii="楷体_GB2312" w:hAnsi="楷体_GB2312" w:eastAsia="楷体_GB2312" w:cs="楷体_GB2312"/>
          <w:bCs/>
          <w:sz w:val="32"/>
          <w:szCs w:val="32"/>
        </w:rPr>
      </w:pPr>
      <w:bookmarkStart w:id="44" w:name="_Toc1150"/>
      <w:bookmarkStart w:id="45" w:name="_Toc5369"/>
      <w:bookmarkStart w:id="46" w:name="_Toc22594"/>
      <w:bookmarkStart w:id="47" w:name="_Toc19981"/>
      <w:bookmarkStart w:id="48" w:name="_Toc17681"/>
      <w:r>
        <w:rPr>
          <w:rFonts w:hint="eastAsia" w:ascii="楷体_GB2312" w:hAnsi="楷体_GB2312" w:eastAsia="楷体_GB2312" w:cs="楷体_GB2312"/>
          <w:bCs/>
          <w:sz w:val="32"/>
          <w:szCs w:val="32"/>
        </w:rPr>
        <w:t>（二）第二赛段：直播营销策划实施</w:t>
      </w:r>
      <w:bookmarkEnd w:id="44"/>
      <w:bookmarkEnd w:id="45"/>
      <w:bookmarkEnd w:id="46"/>
      <w:bookmarkEnd w:id="47"/>
      <w:bookmarkEnd w:id="48"/>
    </w:p>
    <w:p w14:paraId="37408FA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竞赛试题涵盖直播营销全流程内容。由专家组长（裁判长）组织专家组编制本赛项竞赛试</w:t>
      </w:r>
      <w:r>
        <w:rPr>
          <w:rFonts w:hint="eastAsia" w:ascii="仿宋_GB2312" w:hAnsi="仿宋_GB2312" w:eastAsia="仿宋_GB2312" w:cs="仿宋_GB2312"/>
          <w:sz w:val="32"/>
          <w:szCs w:val="32"/>
        </w:rPr>
        <w:t>题。详细样题如下：</w:t>
      </w:r>
    </w:p>
    <w:p w14:paraId="42D3F7EC">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ascii="Times New Roman" w:hAnsi="Times New Roman" w:eastAsia="仿宋_GB2312"/>
          <w:b/>
          <w:bCs/>
          <w:sz w:val="32"/>
          <w:szCs w:val="32"/>
        </w:rPr>
        <w:t>1</w:t>
      </w:r>
      <w:r>
        <w:rPr>
          <w:rFonts w:hint="eastAsia" w:ascii="仿宋_GB2312" w:hAnsi="仿宋_GB2312" w:eastAsia="仿宋_GB2312" w:cs="仿宋_GB2312"/>
          <w:b/>
          <w:bCs/>
          <w:sz w:val="32"/>
          <w:szCs w:val="32"/>
        </w:rPr>
        <w:t>）背景资料</w:t>
      </w:r>
    </w:p>
    <w:p w14:paraId="58DAF50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鲜满园特产店是一家网上平台店铺，主营业务是各类地方特产的网上销售。店铺计划将在</w:t>
      </w:r>
      <w:r>
        <w:rPr>
          <w:rFonts w:ascii="Times New Roman" w:hAnsi="Times New Roman" w:eastAsia="仿宋_GB2312"/>
          <w:sz w:val="32"/>
          <w:szCs w:val="32"/>
        </w:rPr>
        <w:t>8</w:t>
      </w:r>
      <w:r>
        <w:rPr>
          <w:rFonts w:hint="eastAsia" w:ascii="仿宋_GB2312" w:hAnsi="仿宋_GB2312" w:eastAsia="仿宋_GB2312" w:cs="仿宋_GB2312"/>
          <w:sz w:val="32"/>
          <w:szCs w:val="32"/>
        </w:rPr>
        <w:t>月份举办一场当季水果丰收节主题的专场直播。直播营销人员需要根据市场流量大盘和历史销售数据、商品资料等内容，在给定的资金范围内，策划并执行一场直播，完成市场信息分析、直播规划、脚本策划、创建直播、直播装修、直播推广、直播复盘等过程，并根据背景介绍以及商品资料，策划并实施一场</w:t>
      </w:r>
      <w:r>
        <w:rPr>
          <w:rFonts w:ascii="Times New Roman" w:hAnsi="Times New Roman" w:eastAsia="仿宋_GB2312"/>
          <w:sz w:val="32"/>
          <w:szCs w:val="32"/>
        </w:rPr>
        <w:t>10</w:t>
      </w:r>
      <w:r>
        <w:rPr>
          <w:rFonts w:hint="eastAsia" w:ascii="仿宋_GB2312" w:hAnsi="仿宋_GB2312" w:eastAsia="仿宋_GB2312" w:cs="仿宋_GB2312"/>
          <w:sz w:val="32"/>
          <w:szCs w:val="32"/>
        </w:rPr>
        <w:t>分钟的直播，通过直播</w:t>
      </w:r>
      <w:r>
        <w:rPr>
          <w:rFonts w:ascii="Times New Roman" w:hAnsi="Times New Roman" w:eastAsia="仿宋_GB2312"/>
          <w:sz w:val="32"/>
          <w:szCs w:val="32"/>
        </w:rPr>
        <w:t>APP</w:t>
      </w:r>
      <w:r>
        <w:rPr>
          <w:rFonts w:hint="eastAsia" w:ascii="仿宋_GB2312" w:hAnsi="仿宋_GB2312" w:eastAsia="仿宋_GB2312" w:cs="仿宋_GB2312"/>
          <w:sz w:val="32"/>
          <w:szCs w:val="32"/>
        </w:rPr>
        <w:t>完成两款商品的直播演示。</w:t>
      </w:r>
    </w:p>
    <w:p w14:paraId="62F79EC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两款商品的介绍如下：</w:t>
      </w:r>
    </w:p>
    <w:p w14:paraId="50942FAF">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芒果：</w:t>
      </w:r>
      <w:r>
        <w:rPr>
          <w:rFonts w:hint="eastAsia" w:ascii="仿宋_GB2312" w:hAnsi="仿宋_GB2312" w:eastAsia="仿宋_GB2312" w:cs="仿宋_GB2312"/>
          <w:sz w:val="32"/>
          <w:szCs w:val="32"/>
        </w:rPr>
        <w:t>芒果是广受消费者欢迎的明星水果，果肉有金黄、橙黄等色泽，口感细腻多汁，富含维生素</w:t>
      </w:r>
      <w:r>
        <w:rPr>
          <w:rFonts w:ascii="Times New Roman" w:hAnsi="Times New Roman" w:eastAsia="仿宋_GB2312"/>
          <w:sz w:val="32"/>
          <w:szCs w:val="32"/>
        </w:rPr>
        <w:t>C</w:t>
      </w:r>
      <w:r>
        <w:rPr>
          <w:rFonts w:hint="eastAsia" w:ascii="仿宋_GB2312" w:hAnsi="仿宋_GB2312" w:eastAsia="仿宋_GB2312" w:cs="仿宋_GB2312"/>
          <w:sz w:val="32"/>
          <w:szCs w:val="32"/>
        </w:rPr>
        <w:t>、胡萝卜素等营养成分，可鲜食或加工成芒果汁、芒果干、芒果慕斯等制品。不同品种如台农芒、贵妃芒、凯特芒等各具特色，果形有卵圆形、肾形等多种形态，成熟时散发浓郁果香，是夏季消暑的佳品。</w:t>
      </w:r>
    </w:p>
    <w:p w14:paraId="5FF62729">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壮锦：</w:t>
      </w:r>
      <w:r>
        <w:rPr>
          <w:rFonts w:hint="eastAsia" w:ascii="仿宋_GB2312" w:hAnsi="仿宋_GB2312" w:eastAsia="仿宋_GB2312" w:cs="仿宋_GB2312"/>
          <w:sz w:val="32"/>
          <w:szCs w:val="32"/>
        </w:rPr>
        <w:t>中国四大名锦之一，是广西壮族地区一项最具代表性的民族手工艺品。壮锦以棉纱为经、五色丝线为纬，采用 “通经断纬” 的方法编织而成，图案生动，结构严谨，色彩斑斓，充满热烈、开朗的民族格调，体现了壮族人民对美好生活的追求与向往，可用于制作服装、壁挂、背包等。。</w:t>
      </w:r>
    </w:p>
    <w:p w14:paraId="014940E4">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ascii="Times New Roman" w:hAnsi="Times New Roman" w:eastAsia="仿宋_GB2312"/>
          <w:b/>
          <w:bCs/>
          <w:sz w:val="32"/>
          <w:szCs w:val="32"/>
        </w:rPr>
        <w:t>2</w:t>
      </w:r>
      <w:r>
        <w:rPr>
          <w:rFonts w:hint="eastAsia" w:ascii="仿宋_GB2312" w:hAnsi="仿宋_GB2312" w:eastAsia="仿宋_GB2312" w:cs="仿宋_GB2312"/>
          <w:b/>
          <w:bCs/>
          <w:sz w:val="32"/>
          <w:szCs w:val="32"/>
        </w:rPr>
        <w:t>）考核要求</w:t>
      </w:r>
    </w:p>
    <w:p w14:paraId="4657EDB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根据背景资料要求，对直播主题、时间等进行规划，并据此策划直播脚本。</w:t>
      </w:r>
    </w:p>
    <w:p w14:paraId="3646C67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根据背景资料要求，创建直播，确定直播的封面、栏目、简介等信息。</w:t>
      </w:r>
    </w:p>
    <w:p w14:paraId="5438A649">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根据背景资料要求，对直播间进行装修，设置相关直播信息。</w:t>
      </w:r>
    </w:p>
    <w:p w14:paraId="197EE5E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直播时长要达到</w:t>
      </w:r>
      <w:r>
        <w:rPr>
          <w:rFonts w:ascii="Times New Roman" w:hAnsi="Times New Roman" w:eastAsia="仿宋_GB2312"/>
          <w:sz w:val="32"/>
          <w:szCs w:val="32"/>
        </w:rPr>
        <w:t>10</w:t>
      </w:r>
      <w:r>
        <w:rPr>
          <w:rFonts w:hint="eastAsia" w:ascii="仿宋_GB2312" w:hAnsi="仿宋_GB2312" w:eastAsia="仿宋_GB2312" w:cs="仿宋_GB2312"/>
          <w:sz w:val="32"/>
          <w:szCs w:val="32"/>
        </w:rPr>
        <w:t>分钟。</w:t>
      </w:r>
    </w:p>
    <w:p w14:paraId="344642C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讲解的商品正确关联商品链接。</w:t>
      </w:r>
    </w:p>
    <w:p w14:paraId="067CBC2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直播画面始终围绕主播或竞赛商品，画面清晰明亮；直播过程中没有</w:t>
      </w:r>
      <w:r>
        <w:rPr>
          <w:rFonts w:ascii="Times New Roman" w:hAnsi="Times New Roman" w:eastAsia="仿宋_GB2312"/>
          <w:sz w:val="32"/>
          <w:szCs w:val="32"/>
        </w:rPr>
        <w:t>10</w:t>
      </w:r>
      <w:r>
        <w:rPr>
          <w:rFonts w:hint="eastAsia" w:ascii="仿宋_GB2312" w:hAnsi="仿宋_GB2312" w:eastAsia="仿宋_GB2312" w:cs="仿宋_GB2312"/>
          <w:sz w:val="32"/>
          <w:szCs w:val="32"/>
        </w:rPr>
        <w:t>秒以上的卡顿、冷场。</w:t>
      </w:r>
    </w:p>
    <w:p w14:paraId="7A4B520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直播开场包含问好、自我介绍、本次直播计划、促销活动四项内容。</w:t>
      </w:r>
    </w:p>
    <w:p w14:paraId="3695B36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有商品属性、特色、卖点的介绍，有商品日常价格、直播促销价的说明，有商品的特写展示。同时，要回答弹幕中出现的相关问题。</w:t>
      </w:r>
    </w:p>
    <w:p w14:paraId="281125F4">
      <w:pPr>
        <w:spacing w:line="560" w:lineRule="exact"/>
        <w:ind w:firstLine="640" w:firstLineChars="200"/>
        <w:rPr>
          <w:rFonts w:hint="eastAsia" w:ascii="仿宋" w:hAnsi="仿宋" w:eastAsia="仿宋" w:cs="仿宋"/>
          <w:sz w:val="32"/>
          <w:szCs w:val="32"/>
        </w:rPr>
      </w:pPr>
      <w:r>
        <w:rPr>
          <w:rFonts w:hint="eastAsia" w:ascii="仿宋_GB2312" w:hAnsi="仿宋_GB2312" w:eastAsia="仿宋_GB2312" w:cs="仿宋_GB2312"/>
          <w:sz w:val="32"/>
          <w:szCs w:val="32"/>
        </w:rPr>
        <w:t>结尾需要包含引导关注、感谢语等内容。</w:t>
      </w:r>
    </w:p>
    <w:bookmarkEnd w:id="43"/>
    <w:p w14:paraId="29C6D42D">
      <w:pPr>
        <w:spacing w:after="160" w:line="560" w:lineRule="exact"/>
        <w:ind w:firstLine="640" w:firstLineChars="200"/>
        <w:outlineLvl w:val="0"/>
        <w:rPr>
          <w:rFonts w:hint="eastAsia" w:ascii="黑体" w:hAnsi="黑体" w:eastAsia="黑体" w:cs="黑体"/>
          <w:bCs/>
          <w:sz w:val="32"/>
          <w:szCs w:val="32"/>
        </w:rPr>
      </w:pPr>
      <w:bookmarkStart w:id="49" w:name="_Toc20518"/>
      <w:bookmarkStart w:id="50" w:name="_Toc5287"/>
      <w:bookmarkStart w:id="51" w:name="_Toc141450646"/>
      <w:bookmarkStart w:id="52" w:name="_Toc18000"/>
      <w:bookmarkStart w:id="53" w:name="_Toc31189"/>
      <w:bookmarkStart w:id="54" w:name="_Toc19644"/>
      <w:bookmarkStart w:id="55" w:name="_Toc19355"/>
      <w:r>
        <w:rPr>
          <w:rFonts w:hint="eastAsia" w:ascii="黑体" w:hAnsi="黑体" w:eastAsia="黑体" w:cs="黑体"/>
          <w:bCs/>
          <w:sz w:val="32"/>
          <w:szCs w:val="32"/>
        </w:rPr>
        <w:t>三、评判标准</w:t>
      </w:r>
      <w:bookmarkEnd w:id="49"/>
      <w:bookmarkEnd w:id="50"/>
      <w:bookmarkEnd w:id="51"/>
      <w:bookmarkEnd w:id="52"/>
      <w:bookmarkEnd w:id="53"/>
      <w:bookmarkEnd w:id="54"/>
      <w:bookmarkEnd w:id="55"/>
    </w:p>
    <w:p w14:paraId="37190DC3">
      <w:pPr>
        <w:widowControl/>
        <w:kinsoku w:val="0"/>
        <w:autoSpaceDE w:val="0"/>
        <w:autoSpaceDN w:val="0"/>
        <w:adjustRightInd w:val="0"/>
        <w:snapToGrid w:val="0"/>
        <w:spacing w:line="560" w:lineRule="exact"/>
        <w:ind w:firstLine="640" w:firstLineChars="200"/>
        <w:textAlignment w:val="baseline"/>
        <w:outlineLvl w:val="1"/>
        <w:rPr>
          <w:rFonts w:hint="eastAsia" w:ascii="楷体_GB2312" w:hAnsi="楷体_GB2312" w:eastAsia="楷体_GB2312" w:cs="楷体_GB2312"/>
          <w:color w:val="000000"/>
          <w:sz w:val="32"/>
          <w:szCs w:val="32"/>
        </w:rPr>
      </w:pPr>
      <w:bookmarkStart w:id="56" w:name="_Toc16873"/>
      <w:bookmarkStart w:id="57" w:name="_Toc6131"/>
      <w:bookmarkStart w:id="58" w:name="_Toc23192"/>
      <w:bookmarkStart w:id="59" w:name="_Toc29149"/>
      <w:bookmarkStart w:id="60" w:name="_Toc5225"/>
      <w:bookmarkStart w:id="61" w:name="_Hlk85727696"/>
      <w:bookmarkStart w:id="62" w:name="_Toc141450647"/>
      <w:bookmarkStart w:id="63" w:name="_Toc18794"/>
      <w:r>
        <w:rPr>
          <w:rFonts w:hint="eastAsia" w:ascii="楷体_GB2312" w:hAnsi="楷体_GB2312" w:eastAsia="楷体_GB2312" w:cs="楷体_GB2312"/>
          <w:color w:val="000000"/>
          <w:sz w:val="32"/>
          <w:szCs w:val="32"/>
        </w:rPr>
        <w:t>（一）分数权重及评分方法</w:t>
      </w:r>
      <w:bookmarkEnd w:id="56"/>
      <w:bookmarkEnd w:id="57"/>
      <w:bookmarkEnd w:id="58"/>
      <w:bookmarkEnd w:id="59"/>
      <w:bookmarkEnd w:id="60"/>
    </w:p>
    <w:p w14:paraId="5731CC0D">
      <w:pPr>
        <w:widowControl/>
        <w:kinsoku w:val="0"/>
        <w:autoSpaceDE w:val="0"/>
        <w:autoSpaceDN w:val="0"/>
        <w:adjustRightInd w:val="0"/>
        <w:snapToGrid w:val="0"/>
        <w:spacing w:line="560" w:lineRule="exact"/>
        <w:ind w:firstLine="640" w:firstLineChars="200"/>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比赛采用测量（客观评分）和评价（主观评分）两种方式进行评分。互联网营销职业技能测评赛段占</w:t>
      </w:r>
      <w:r>
        <w:rPr>
          <w:rFonts w:ascii="Times New Roman" w:hAnsi="Times New Roman" w:eastAsia="仿宋_GB2312"/>
          <w:color w:val="000000"/>
          <w:sz w:val="32"/>
          <w:szCs w:val="32"/>
        </w:rPr>
        <w:t>30</w:t>
      </w:r>
      <w:r>
        <w:rPr>
          <w:rFonts w:hint="eastAsia" w:ascii="仿宋_GB2312" w:hAnsi="仿宋_GB2312" w:eastAsia="仿宋_GB2312" w:cs="仿宋_GB2312"/>
          <w:color w:val="000000"/>
          <w:sz w:val="32"/>
          <w:szCs w:val="32"/>
        </w:rPr>
        <w:t>%（满分为</w:t>
      </w:r>
      <w:r>
        <w:rPr>
          <w:rFonts w:ascii="Times New Roman" w:hAnsi="Times New Roman" w:eastAsia="仿宋_GB2312"/>
          <w:color w:val="000000"/>
          <w:sz w:val="32"/>
          <w:szCs w:val="32"/>
        </w:rPr>
        <w:t>100</w:t>
      </w:r>
      <w:r>
        <w:rPr>
          <w:rFonts w:hint="eastAsia" w:ascii="仿宋_GB2312" w:hAnsi="仿宋_GB2312" w:eastAsia="仿宋_GB2312" w:cs="仿宋_GB2312"/>
          <w:color w:val="000000"/>
          <w:sz w:val="32"/>
          <w:szCs w:val="32"/>
        </w:rPr>
        <w:t>分，考核时间为</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0</w:t>
      </w:r>
      <w:r>
        <w:rPr>
          <w:rFonts w:hint="eastAsia" w:ascii="仿宋_GB2312" w:hAnsi="仿宋_GB2312" w:eastAsia="仿宋_GB2312" w:cs="仿宋_GB2312"/>
          <w:color w:val="000000"/>
          <w:sz w:val="32"/>
          <w:szCs w:val="32"/>
        </w:rPr>
        <w:t>分钟），直播营销策划与实施赛段占</w:t>
      </w:r>
      <w:r>
        <w:rPr>
          <w:rFonts w:ascii="Times New Roman" w:hAnsi="Times New Roman" w:eastAsia="仿宋_GB2312"/>
          <w:color w:val="000000"/>
          <w:sz w:val="32"/>
          <w:szCs w:val="32"/>
        </w:rPr>
        <w:t>70</w:t>
      </w:r>
      <w:r>
        <w:rPr>
          <w:rFonts w:hint="eastAsia" w:ascii="仿宋_GB2312" w:hAnsi="仿宋_GB2312" w:eastAsia="仿宋_GB2312" w:cs="仿宋_GB2312"/>
          <w:color w:val="000000"/>
          <w:sz w:val="32"/>
          <w:szCs w:val="32"/>
        </w:rPr>
        <w:t>%（满分</w:t>
      </w:r>
      <w:r>
        <w:rPr>
          <w:rFonts w:ascii="Times New Roman" w:hAnsi="Times New Roman" w:eastAsia="仿宋_GB2312"/>
          <w:color w:val="000000"/>
          <w:sz w:val="32"/>
          <w:szCs w:val="32"/>
        </w:rPr>
        <w:t>100</w:t>
      </w:r>
      <w:r>
        <w:rPr>
          <w:rFonts w:hint="eastAsia" w:ascii="仿宋_GB2312" w:hAnsi="仿宋_GB2312" w:eastAsia="仿宋_GB2312" w:cs="仿宋_GB2312"/>
          <w:color w:val="000000"/>
          <w:sz w:val="32"/>
          <w:szCs w:val="32"/>
        </w:rPr>
        <w:t>分，考核时间为</w:t>
      </w:r>
      <w:r>
        <w:rPr>
          <w:rFonts w:ascii="Times New Roman" w:hAnsi="Times New Roman" w:eastAsia="仿宋_GB2312"/>
          <w:color w:val="000000"/>
          <w:sz w:val="32"/>
          <w:szCs w:val="32"/>
        </w:rPr>
        <w:t>120</w:t>
      </w:r>
      <w:r>
        <w:rPr>
          <w:rFonts w:hint="eastAsia" w:ascii="仿宋_GB2312" w:hAnsi="仿宋_GB2312" w:eastAsia="仿宋_GB2312" w:cs="仿宋_GB2312"/>
          <w:color w:val="000000"/>
          <w:sz w:val="32"/>
          <w:szCs w:val="32"/>
        </w:rPr>
        <w:t>分钟）。</w:t>
      </w:r>
    </w:p>
    <w:p w14:paraId="2C6E033D">
      <w:pPr>
        <w:widowControl/>
        <w:kinsoku w:val="0"/>
        <w:autoSpaceDE w:val="0"/>
        <w:autoSpaceDN w:val="0"/>
        <w:adjustRightInd w:val="0"/>
        <w:snapToGrid w:val="0"/>
        <w:spacing w:line="560" w:lineRule="exact"/>
        <w:ind w:firstLine="640" w:firstLineChars="200"/>
        <w:textAlignment w:val="baseline"/>
        <w:outlineLvl w:val="1"/>
        <w:rPr>
          <w:rFonts w:hint="eastAsia" w:ascii="楷体_GB2312" w:hAnsi="楷体_GB2312" w:eastAsia="楷体_GB2312" w:cs="楷体_GB2312"/>
          <w:color w:val="000000"/>
          <w:sz w:val="32"/>
          <w:szCs w:val="32"/>
        </w:rPr>
      </w:pPr>
      <w:bookmarkStart w:id="64" w:name="_Toc27785"/>
      <w:bookmarkStart w:id="65" w:name="_Toc25211"/>
      <w:bookmarkStart w:id="66" w:name="_Toc13633"/>
      <w:bookmarkStart w:id="67" w:name="_Toc9146"/>
      <w:bookmarkStart w:id="68" w:name="_Toc425"/>
      <w:r>
        <w:rPr>
          <w:rFonts w:hint="eastAsia" w:ascii="楷体_GB2312" w:hAnsi="楷体_GB2312" w:eastAsia="楷体_GB2312" w:cs="楷体_GB2312"/>
          <w:color w:val="000000"/>
          <w:sz w:val="32"/>
          <w:szCs w:val="32"/>
        </w:rPr>
        <w:t>（二）评分标准</w:t>
      </w:r>
      <w:bookmarkEnd w:id="64"/>
      <w:bookmarkEnd w:id="65"/>
      <w:bookmarkEnd w:id="66"/>
      <w:bookmarkEnd w:id="67"/>
      <w:bookmarkEnd w:id="68"/>
    </w:p>
    <w:p w14:paraId="46FCA81D">
      <w:pPr>
        <w:spacing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color w:val="000000"/>
          <w:sz w:val="32"/>
          <w:szCs w:val="32"/>
        </w:rPr>
        <w:t>互联网营销师竞赛项目各赛段采用</w:t>
      </w:r>
      <w:r>
        <w:rPr>
          <w:rFonts w:ascii="Times New Roman" w:hAnsi="Times New Roman" w:eastAsia="仿宋_GB2312"/>
          <w:color w:val="000000"/>
          <w:sz w:val="32"/>
          <w:szCs w:val="32"/>
        </w:rPr>
        <w:t>100</w:t>
      </w:r>
      <w:r>
        <w:rPr>
          <w:rFonts w:hint="eastAsia" w:ascii="仿宋_GB2312" w:hAnsi="仿宋_GB2312" w:eastAsia="仿宋_GB2312" w:cs="仿宋_GB2312"/>
          <w:color w:val="000000"/>
          <w:sz w:val="32"/>
          <w:szCs w:val="32"/>
        </w:rPr>
        <w:t>分制，互联网营销职业技能测评按卷面评分标准进行评分，直播营销策划实施具体评分标准如下：</w:t>
      </w:r>
      <w:bookmarkEnd w:id="61"/>
      <w:bookmarkEnd w:id="62"/>
      <w:bookmarkEnd w:id="63"/>
      <w:bookmarkStart w:id="69" w:name="_Toc141450651"/>
      <w:bookmarkStart w:id="70" w:name="_Toc5274"/>
      <w:r>
        <w:rPr>
          <w:rFonts w:hint="eastAsia" w:ascii="仿宋_GB2312" w:hAnsi="仿宋_GB2312" w:eastAsia="仿宋_GB2312" w:cs="仿宋_GB2312"/>
          <w:b/>
          <w:bCs/>
          <w:sz w:val="32"/>
          <w:szCs w:val="32"/>
        </w:rPr>
        <w:t xml:space="preserve"> </w:t>
      </w:r>
    </w:p>
    <w:tbl>
      <w:tblPr>
        <w:tblStyle w:val="16"/>
        <w:tblW w:w="493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3"/>
        <w:gridCol w:w="1591"/>
        <w:gridCol w:w="4213"/>
        <w:gridCol w:w="1549"/>
      </w:tblGrid>
      <w:tr w14:paraId="3703E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1473" w:type="dxa"/>
            <w:tcBorders>
              <w:left w:val="single" w:color="000000" w:sz="4" w:space="0"/>
              <w:right w:val="single" w:color="000000" w:sz="4" w:space="0"/>
            </w:tcBorders>
            <w:vAlign w:val="center"/>
          </w:tcPr>
          <w:p w14:paraId="65CA3BB9">
            <w:pPr>
              <w:spacing w:line="240" w:lineRule="atLeast"/>
              <w:jc w:val="center"/>
              <w:rPr>
                <w:rFonts w:hint="eastAsia" w:ascii="仿宋" w:hAnsi="仿宋" w:eastAsia="仿宋" w:cs="仿宋"/>
                <w:b/>
                <w:bCs/>
                <w:sz w:val="24"/>
                <w:szCs w:val="20"/>
              </w:rPr>
            </w:pPr>
            <w:r>
              <w:rPr>
                <w:rFonts w:hint="eastAsia" w:ascii="仿宋" w:hAnsi="仿宋" w:eastAsia="仿宋" w:cs="仿宋"/>
                <w:b/>
                <w:bCs/>
                <w:sz w:val="24"/>
                <w:szCs w:val="20"/>
              </w:rPr>
              <w:t>评分项</w:t>
            </w:r>
          </w:p>
        </w:tc>
        <w:tc>
          <w:tcPr>
            <w:tcW w:w="5804" w:type="dxa"/>
            <w:gridSpan w:val="2"/>
            <w:tcBorders>
              <w:left w:val="single" w:color="000000" w:sz="4" w:space="0"/>
              <w:right w:val="single" w:color="000000" w:sz="4" w:space="0"/>
            </w:tcBorders>
            <w:vAlign w:val="center"/>
          </w:tcPr>
          <w:p w14:paraId="1A620FB0">
            <w:pPr>
              <w:spacing w:line="240" w:lineRule="atLeast"/>
              <w:jc w:val="center"/>
              <w:rPr>
                <w:rFonts w:hint="eastAsia" w:ascii="仿宋" w:hAnsi="仿宋" w:eastAsia="仿宋" w:cs="仿宋"/>
                <w:b/>
                <w:bCs/>
                <w:sz w:val="24"/>
                <w:szCs w:val="20"/>
              </w:rPr>
            </w:pPr>
            <w:r>
              <w:rPr>
                <w:rFonts w:hint="eastAsia" w:ascii="仿宋" w:hAnsi="仿宋" w:eastAsia="仿宋" w:cs="仿宋"/>
                <w:b/>
                <w:bCs/>
                <w:sz w:val="24"/>
                <w:szCs w:val="20"/>
              </w:rPr>
              <w:t>评分细则</w:t>
            </w:r>
          </w:p>
        </w:tc>
        <w:tc>
          <w:tcPr>
            <w:tcW w:w="1549" w:type="dxa"/>
            <w:tcBorders>
              <w:left w:val="single" w:color="000000" w:sz="4" w:space="0"/>
              <w:right w:val="single" w:color="000000" w:sz="4" w:space="0"/>
            </w:tcBorders>
            <w:vAlign w:val="center"/>
          </w:tcPr>
          <w:p w14:paraId="3F00807F">
            <w:pPr>
              <w:spacing w:line="240" w:lineRule="atLeast"/>
              <w:jc w:val="center"/>
              <w:rPr>
                <w:rFonts w:hint="eastAsia" w:ascii="仿宋" w:hAnsi="仿宋" w:eastAsia="仿宋" w:cs="仿宋"/>
                <w:b/>
                <w:bCs/>
                <w:sz w:val="24"/>
                <w:szCs w:val="20"/>
                <w:highlight w:val="red"/>
              </w:rPr>
            </w:pPr>
            <w:r>
              <w:rPr>
                <w:rFonts w:hint="eastAsia" w:ascii="仿宋" w:hAnsi="仿宋" w:eastAsia="仿宋" w:cs="仿宋"/>
                <w:b/>
                <w:bCs/>
                <w:sz w:val="24"/>
                <w:szCs w:val="20"/>
              </w:rPr>
              <w:t>分值</w:t>
            </w:r>
          </w:p>
        </w:tc>
      </w:tr>
      <w:tr w14:paraId="45A6A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1473" w:type="dxa"/>
            <w:vMerge w:val="restart"/>
            <w:tcBorders>
              <w:left w:val="single" w:color="000000" w:sz="4" w:space="0"/>
              <w:right w:val="single" w:color="000000" w:sz="4" w:space="0"/>
            </w:tcBorders>
            <w:vAlign w:val="center"/>
          </w:tcPr>
          <w:p w14:paraId="63DB452C">
            <w:pPr>
              <w:spacing w:line="240" w:lineRule="atLeast"/>
              <w:jc w:val="center"/>
              <w:rPr>
                <w:rFonts w:hint="eastAsia" w:ascii="仿宋" w:hAnsi="仿宋" w:eastAsia="仿宋" w:cs="仿宋"/>
                <w:b/>
                <w:bCs/>
                <w:sz w:val="24"/>
                <w:szCs w:val="20"/>
              </w:rPr>
            </w:pPr>
            <w:r>
              <w:rPr>
                <w:rFonts w:hint="eastAsia" w:ascii="仿宋" w:hAnsi="仿宋" w:eastAsia="仿宋" w:cs="仿宋"/>
                <w:b/>
                <w:bCs/>
                <w:sz w:val="24"/>
                <w:szCs w:val="20"/>
              </w:rPr>
              <w:t>直播规划</w:t>
            </w:r>
          </w:p>
        </w:tc>
        <w:tc>
          <w:tcPr>
            <w:tcW w:w="5804" w:type="dxa"/>
            <w:gridSpan w:val="2"/>
            <w:tcBorders>
              <w:left w:val="single" w:color="000000" w:sz="4" w:space="0"/>
              <w:right w:val="single" w:color="000000" w:sz="4" w:space="0"/>
            </w:tcBorders>
            <w:vAlign w:val="center"/>
          </w:tcPr>
          <w:p w14:paraId="6DF98F42">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主题策划需符合背景要求。</w:t>
            </w:r>
          </w:p>
        </w:tc>
        <w:tc>
          <w:tcPr>
            <w:tcW w:w="1549" w:type="dxa"/>
            <w:tcBorders>
              <w:left w:val="single" w:color="000000" w:sz="4" w:space="0"/>
              <w:right w:val="single" w:color="000000" w:sz="4" w:space="0"/>
            </w:tcBorders>
            <w:vAlign w:val="center"/>
          </w:tcPr>
          <w:p w14:paraId="19F9D4DC">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2</w:t>
            </w:r>
          </w:p>
        </w:tc>
      </w:tr>
      <w:tr w14:paraId="72F01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1473" w:type="dxa"/>
            <w:vMerge w:val="continue"/>
            <w:tcBorders>
              <w:left w:val="single" w:color="000000" w:sz="4" w:space="0"/>
              <w:right w:val="single" w:color="000000" w:sz="4" w:space="0"/>
            </w:tcBorders>
            <w:vAlign w:val="center"/>
          </w:tcPr>
          <w:p w14:paraId="24D6A937">
            <w:pPr>
              <w:spacing w:line="240" w:lineRule="atLeast"/>
              <w:jc w:val="center"/>
              <w:rPr>
                <w:rFonts w:hint="eastAsia" w:ascii="仿宋" w:hAnsi="仿宋" w:eastAsia="仿宋" w:cs="仿宋"/>
                <w:b/>
                <w:bCs/>
                <w:sz w:val="24"/>
                <w:szCs w:val="20"/>
              </w:rPr>
            </w:pPr>
          </w:p>
        </w:tc>
        <w:tc>
          <w:tcPr>
            <w:tcW w:w="5804" w:type="dxa"/>
            <w:gridSpan w:val="2"/>
            <w:tcBorders>
              <w:left w:val="single" w:color="000000" w:sz="4" w:space="0"/>
              <w:right w:val="single" w:color="000000" w:sz="4" w:space="0"/>
            </w:tcBorders>
            <w:vAlign w:val="center"/>
          </w:tcPr>
          <w:p w14:paraId="5A2668D0">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互动策划需符合背景要求。</w:t>
            </w:r>
          </w:p>
        </w:tc>
        <w:tc>
          <w:tcPr>
            <w:tcW w:w="1549" w:type="dxa"/>
            <w:tcBorders>
              <w:left w:val="single" w:color="000000" w:sz="4" w:space="0"/>
              <w:right w:val="single" w:color="000000" w:sz="4" w:space="0"/>
            </w:tcBorders>
            <w:vAlign w:val="center"/>
          </w:tcPr>
          <w:p w14:paraId="0E8FD87F">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2</w:t>
            </w:r>
          </w:p>
        </w:tc>
      </w:tr>
      <w:tr w14:paraId="71F532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restart"/>
            <w:tcBorders>
              <w:left w:val="single" w:color="000000" w:sz="4" w:space="0"/>
              <w:right w:val="single" w:color="000000" w:sz="4" w:space="0"/>
            </w:tcBorders>
            <w:vAlign w:val="center"/>
          </w:tcPr>
          <w:p w14:paraId="7F78149E">
            <w:pPr>
              <w:spacing w:line="240" w:lineRule="atLeast"/>
              <w:jc w:val="center"/>
              <w:rPr>
                <w:rFonts w:hint="eastAsia" w:ascii="仿宋" w:hAnsi="仿宋" w:eastAsia="仿宋" w:cs="仿宋"/>
                <w:b/>
                <w:bCs/>
                <w:sz w:val="24"/>
                <w:szCs w:val="20"/>
              </w:rPr>
            </w:pPr>
            <w:r>
              <w:rPr>
                <w:rFonts w:hint="eastAsia" w:ascii="仿宋" w:hAnsi="仿宋" w:eastAsia="仿宋" w:cs="仿宋"/>
                <w:b/>
                <w:bCs/>
                <w:sz w:val="24"/>
                <w:szCs w:val="20"/>
              </w:rPr>
              <w:t>脚本策划</w:t>
            </w:r>
          </w:p>
        </w:tc>
        <w:tc>
          <w:tcPr>
            <w:tcW w:w="5804" w:type="dxa"/>
            <w:gridSpan w:val="2"/>
            <w:tcBorders>
              <w:left w:val="single" w:color="000000" w:sz="4" w:space="0"/>
              <w:right w:val="single" w:color="000000" w:sz="4" w:space="0"/>
            </w:tcBorders>
            <w:vAlign w:val="center"/>
          </w:tcPr>
          <w:p w14:paraId="3CBBF366">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整场直播脚本必须包含直播开场、商品介绍、直播收尾、直播互动环节，脚本内容撰写详细、逻辑清晰、有创意且符合背景资料。</w:t>
            </w:r>
          </w:p>
        </w:tc>
        <w:tc>
          <w:tcPr>
            <w:tcW w:w="1549" w:type="dxa"/>
            <w:tcBorders>
              <w:left w:val="single" w:color="000000" w:sz="4" w:space="0"/>
              <w:right w:val="single" w:color="000000" w:sz="4" w:space="0"/>
            </w:tcBorders>
            <w:vAlign w:val="center"/>
          </w:tcPr>
          <w:p w14:paraId="11756F97">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6</w:t>
            </w:r>
          </w:p>
        </w:tc>
      </w:tr>
      <w:tr w14:paraId="6C66D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continue"/>
            <w:tcBorders>
              <w:left w:val="single" w:color="000000" w:sz="4" w:space="0"/>
              <w:right w:val="single" w:color="000000" w:sz="4" w:space="0"/>
            </w:tcBorders>
            <w:vAlign w:val="center"/>
          </w:tcPr>
          <w:p w14:paraId="669A047B">
            <w:pPr>
              <w:spacing w:line="240" w:lineRule="atLeast"/>
              <w:jc w:val="center"/>
              <w:rPr>
                <w:rFonts w:hint="eastAsia" w:ascii="仿宋" w:hAnsi="仿宋" w:eastAsia="仿宋" w:cs="仿宋"/>
                <w:b/>
                <w:bCs/>
                <w:sz w:val="24"/>
                <w:szCs w:val="20"/>
              </w:rPr>
            </w:pPr>
          </w:p>
        </w:tc>
        <w:tc>
          <w:tcPr>
            <w:tcW w:w="5804" w:type="dxa"/>
            <w:gridSpan w:val="2"/>
            <w:tcBorders>
              <w:left w:val="single" w:color="000000" w:sz="4" w:space="0"/>
              <w:right w:val="single" w:color="000000" w:sz="4" w:space="0"/>
            </w:tcBorders>
            <w:vAlign w:val="center"/>
          </w:tcPr>
          <w:p w14:paraId="3DAAD5B3">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单品脚本内容包括还原场景介绍、抬高需求、展示卖点、灌输理念、促进成交等部分。</w:t>
            </w:r>
          </w:p>
        </w:tc>
        <w:tc>
          <w:tcPr>
            <w:tcW w:w="1549" w:type="dxa"/>
            <w:tcBorders>
              <w:left w:val="single" w:color="000000" w:sz="4" w:space="0"/>
              <w:right w:val="single" w:color="000000" w:sz="4" w:space="0"/>
            </w:tcBorders>
            <w:vAlign w:val="center"/>
          </w:tcPr>
          <w:p w14:paraId="5DD506E6">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5</w:t>
            </w:r>
          </w:p>
        </w:tc>
      </w:tr>
      <w:tr w14:paraId="074C5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tcBorders>
              <w:left w:val="single" w:color="000000" w:sz="4" w:space="0"/>
              <w:right w:val="single" w:color="000000" w:sz="4" w:space="0"/>
            </w:tcBorders>
            <w:vAlign w:val="center"/>
          </w:tcPr>
          <w:p w14:paraId="416CCE14">
            <w:pPr>
              <w:spacing w:line="240" w:lineRule="atLeast"/>
              <w:jc w:val="center"/>
              <w:rPr>
                <w:rFonts w:hint="eastAsia" w:ascii="仿宋" w:hAnsi="仿宋" w:eastAsia="仿宋" w:cs="仿宋"/>
                <w:b/>
                <w:bCs/>
                <w:sz w:val="24"/>
                <w:szCs w:val="20"/>
              </w:rPr>
            </w:pPr>
            <w:r>
              <w:rPr>
                <w:rFonts w:hint="eastAsia" w:ascii="仿宋" w:hAnsi="仿宋" w:eastAsia="仿宋" w:cs="仿宋"/>
                <w:b/>
                <w:bCs/>
                <w:sz w:val="24"/>
                <w:szCs w:val="20"/>
              </w:rPr>
              <w:t>直播创建</w:t>
            </w:r>
          </w:p>
        </w:tc>
        <w:tc>
          <w:tcPr>
            <w:tcW w:w="5804" w:type="dxa"/>
            <w:gridSpan w:val="2"/>
            <w:tcBorders>
              <w:left w:val="single" w:color="000000" w:sz="4" w:space="0"/>
              <w:right w:val="single" w:color="000000" w:sz="4" w:space="0"/>
            </w:tcBorders>
            <w:vAlign w:val="center"/>
          </w:tcPr>
          <w:p w14:paraId="062AB5B4">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根据直播策划内容，创建直播，设置直播间名称、封面、简介、直播时间、频道栏目。</w:t>
            </w:r>
          </w:p>
        </w:tc>
        <w:tc>
          <w:tcPr>
            <w:tcW w:w="1549" w:type="dxa"/>
            <w:tcBorders>
              <w:left w:val="single" w:color="000000" w:sz="4" w:space="0"/>
              <w:right w:val="single" w:color="000000" w:sz="4" w:space="0"/>
            </w:tcBorders>
            <w:vAlign w:val="center"/>
          </w:tcPr>
          <w:p w14:paraId="2F89651A">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2</w:t>
            </w:r>
          </w:p>
        </w:tc>
      </w:tr>
      <w:tr w14:paraId="57F3A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473" w:type="dxa"/>
            <w:vMerge w:val="restart"/>
            <w:tcBorders>
              <w:left w:val="single" w:color="000000" w:sz="4" w:space="0"/>
              <w:right w:val="single" w:color="000000" w:sz="4" w:space="0"/>
            </w:tcBorders>
            <w:vAlign w:val="center"/>
          </w:tcPr>
          <w:p w14:paraId="15CB2937">
            <w:pPr>
              <w:spacing w:line="240" w:lineRule="atLeast"/>
              <w:jc w:val="center"/>
              <w:rPr>
                <w:rFonts w:hint="eastAsia" w:ascii="仿宋" w:hAnsi="仿宋" w:eastAsia="仿宋" w:cs="仿宋"/>
                <w:b/>
                <w:bCs/>
                <w:sz w:val="24"/>
                <w:szCs w:val="20"/>
              </w:rPr>
            </w:pPr>
            <w:r>
              <w:rPr>
                <w:rFonts w:hint="eastAsia" w:ascii="仿宋" w:hAnsi="仿宋" w:eastAsia="仿宋" w:cs="仿宋"/>
                <w:b/>
                <w:bCs/>
                <w:sz w:val="24"/>
                <w:szCs w:val="20"/>
              </w:rPr>
              <w:t>直播装修</w:t>
            </w:r>
          </w:p>
        </w:tc>
        <w:tc>
          <w:tcPr>
            <w:tcW w:w="5804" w:type="dxa"/>
            <w:gridSpan w:val="2"/>
            <w:tcBorders>
              <w:left w:val="single" w:color="000000" w:sz="4" w:space="0"/>
              <w:right w:val="single" w:color="000000" w:sz="4" w:space="0"/>
            </w:tcBorders>
            <w:vAlign w:val="center"/>
          </w:tcPr>
          <w:p w14:paraId="2DF8E4C5">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欢迎语设置正确。</w:t>
            </w:r>
          </w:p>
        </w:tc>
        <w:tc>
          <w:tcPr>
            <w:tcW w:w="1549" w:type="dxa"/>
            <w:vMerge w:val="restart"/>
            <w:tcBorders>
              <w:left w:val="single" w:color="000000" w:sz="4" w:space="0"/>
              <w:right w:val="single" w:color="000000" w:sz="4" w:space="0"/>
            </w:tcBorders>
            <w:vAlign w:val="center"/>
          </w:tcPr>
          <w:p w14:paraId="406D1F7A">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3</w:t>
            </w:r>
          </w:p>
        </w:tc>
      </w:tr>
      <w:tr w14:paraId="3378C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jc w:val="center"/>
        </w:trPr>
        <w:tc>
          <w:tcPr>
            <w:tcW w:w="1473" w:type="dxa"/>
            <w:vMerge w:val="continue"/>
            <w:tcBorders>
              <w:left w:val="single" w:color="000000" w:sz="4" w:space="0"/>
              <w:right w:val="single" w:color="000000" w:sz="4" w:space="0"/>
            </w:tcBorders>
            <w:vAlign w:val="center"/>
          </w:tcPr>
          <w:p w14:paraId="39E526B2">
            <w:pPr>
              <w:spacing w:line="240" w:lineRule="atLeast"/>
              <w:jc w:val="center"/>
              <w:rPr>
                <w:rFonts w:hint="eastAsia" w:ascii="仿宋" w:hAnsi="仿宋" w:eastAsia="仿宋" w:cs="仿宋"/>
                <w:b/>
                <w:bCs/>
                <w:sz w:val="24"/>
                <w:szCs w:val="20"/>
              </w:rPr>
            </w:pPr>
          </w:p>
        </w:tc>
        <w:tc>
          <w:tcPr>
            <w:tcW w:w="5804" w:type="dxa"/>
            <w:gridSpan w:val="2"/>
            <w:tcBorders>
              <w:left w:val="single" w:color="000000" w:sz="4" w:space="0"/>
              <w:right w:val="single" w:color="000000" w:sz="4" w:space="0"/>
            </w:tcBorders>
            <w:vAlign w:val="center"/>
          </w:tcPr>
          <w:p w14:paraId="270A5674">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屏蔽词分类正确。</w:t>
            </w:r>
          </w:p>
        </w:tc>
        <w:tc>
          <w:tcPr>
            <w:tcW w:w="1549" w:type="dxa"/>
            <w:vMerge w:val="continue"/>
            <w:tcBorders>
              <w:left w:val="single" w:color="000000" w:sz="4" w:space="0"/>
              <w:right w:val="single" w:color="000000" w:sz="4" w:space="0"/>
            </w:tcBorders>
            <w:vAlign w:val="center"/>
          </w:tcPr>
          <w:p w14:paraId="52A3672C">
            <w:pPr>
              <w:spacing w:line="240" w:lineRule="atLeast"/>
              <w:jc w:val="center"/>
              <w:rPr>
                <w:rFonts w:hint="eastAsia" w:ascii="仿宋" w:hAnsi="仿宋" w:eastAsia="仿宋" w:cs="仿宋"/>
                <w:sz w:val="24"/>
                <w:highlight w:val="red"/>
              </w:rPr>
            </w:pPr>
          </w:p>
        </w:tc>
      </w:tr>
      <w:tr w14:paraId="2C1F1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1473" w:type="dxa"/>
            <w:vMerge w:val="continue"/>
            <w:tcBorders>
              <w:left w:val="single" w:color="000000" w:sz="4" w:space="0"/>
              <w:right w:val="single" w:color="000000" w:sz="4" w:space="0"/>
            </w:tcBorders>
            <w:vAlign w:val="center"/>
          </w:tcPr>
          <w:p w14:paraId="3CB9129C">
            <w:pPr>
              <w:spacing w:line="240" w:lineRule="atLeast"/>
              <w:jc w:val="center"/>
              <w:rPr>
                <w:rFonts w:hint="eastAsia" w:ascii="仿宋" w:hAnsi="仿宋" w:eastAsia="仿宋" w:cs="仿宋"/>
                <w:b/>
                <w:bCs/>
                <w:sz w:val="24"/>
                <w:szCs w:val="20"/>
              </w:rPr>
            </w:pPr>
          </w:p>
        </w:tc>
        <w:tc>
          <w:tcPr>
            <w:tcW w:w="5804" w:type="dxa"/>
            <w:gridSpan w:val="2"/>
            <w:tcBorders>
              <w:left w:val="single" w:color="000000" w:sz="4" w:space="0"/>
              <w:right w:val="single" w:color="auto" w:sz="4" w:space="0"/>
            </w:tcBorders>
            <w:vAlign w:val="center"/>
          </w:tcPr>
          <w:p w14:paraId="230BB800">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快捷短语设置符合各层级粉丝的需求。</w:t>
            </w:r>
          </w:p>
        </w:tc>
        <w:tc>
          <w:tcPr>
            <w:tcW w:w="1549" w:type="dxa"/>
            <w:vMerge w:val="continue"/>
            <w:tcBorders>
              <w:left w:val="single" w:color="auto" w:sz="4" w:space="0"/>
              <w:right w:val="single" w:color="000000" w:sz="4" w:space="0"/>
            </w:tcBorders>
            <w:vAlign w:val="center"/>
          </w:tcPr>
          <w:p w14:paraId="139E9CDD">
            <w:pPr>
              <w:spacing w:line="240" w:lineRule="atLeast"/>
              <w:jc w:val="center"/>
              <w:rPr>
                <w:rFonts w:hint="eastAsia" w:ascii="仿宋" w:hAnsi="仿宋" w:eastAsia="仿宋" w:cs="仿宋"/>
                <w:sz w:val="24"/>
                <w:highlight w:val="red"/>
              </w:rPr>
            </w:pPr>
          </w:p>
        </w:tc>
      </w:tr>
      <w:tr w14:paraId="50972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continue"/>
            <w:tcBorders>
              <w:left w:val="single" w:color="000000" w:sz="4" w:space="0"/>
              <w:right w:val="single" w:color="000000" w:sz="4" w:space="0"/>
            </w:tcBorders>
            <w:vAlign w:val="center"/>
          </w:tcPr>
          <w:p w14:paraId="35DF5C2F">
            <w:pPr>
              <w:spacing w:line="240" w:lineRule="atLeast"/>
              <w:jc w:val="center"/>
              <w:rPr>
                <w:rFonts w:hint="eastAsia" w:ascii="仿宋" w:hAnsi="仿宋" w:eastAsia="仿宋" w:cs="仿宋"/>
                <w:b/>
                <w:bCs/>
                <w:sz w:val="22"/>
                <w:szCs w:val="18"/>
              </w:rPr>
            </w:pPr>
          </w:p>
        </w:tc>
        <w:tc>
          <w:tcPr>
            <w:tcW w:w="1591" w:type="dxa"/>
            <w:tcBorders>
              <w:left w:val="single" w:color="000000" w:sz="4" w:space="0"/>
              <w:right w:val="single" w:color="000000" w:sz="4" w:space="0"/>
            </w:tcBorders>
            <w:vAlign w:val="center"/>
          </w:tcPr>
          <w:p w14:paraId="54E0472C">
            <w:pPr>
              <w:spacing w:line="240" w:lineRule="atLeast"/>
              <w:jc w:val="center"/>
              <w:rPr>
                <w:rFonts w:hint="eastAsia" w:ascii="仿宋" w:hAnsi="仿宋" w:eastAsia="仿宋" w:cs="仿宋"/>
                <w:sz w:val="22"/>
                <w:szCs w:val="18"/>
              </w:rPr>
            </w:pPr>
            <w:r>
              <w:rPr>
                <w:rFonts w:hint="eastAsia" w:ascii="仿宋" w:hAnsi="仿宋" w:eastAsia="仿宋" w:cs="仿宋"/>
                <w:sz w:val="22"/>
                <w:szCs w:val="18"/>
              </w:rPr>
              <w:t>直播间商品链接</w:t>
            </w:r>
          </w:p>
        </w:tc>
        <w:tc>
          <w:tcPr>
            <w:tcW w:w="4213" w:type="dxa"/>
            <w:tcBorders>
              <w:left w:val="single" w:color="000000" w:sz="4" w:space="0"/>
              <w:right w:val="single" w:color="000000" w:sz="4" w:space="0"/>
            </w:tcBorders>
            <w:vAlign w:val="center"/>
          </w:tcPr>
          <w:p w14:paraId="3B17437E">
            <w:pPr>
              <w:spacing w:line="240" w:lineRule="atLeast"/>
              <w:jc w:val="left"/>
              <w:rPr>
                <w:rFonts w:hint="eastAsia" w:ascii="仿宋" w:hAnsi="仿宋" w:eastAsia="仿宋" w:cs="仿宋"/>
                <w:bCs/>
                <w:sz w:val="22"/>
                <w:szCs w:val="18"/>
              </w:rPr>
            </w:pPr>
            <w:r>
              <w:rPr>
                <w:rFonts w:hint="eastAsia" w:ascii="仿宋" w:hAnsi="仿宋" w:eastAsia="仿宋" w:cs="仿宋"/>
                <w:bCs/>
                <w:sz w:val="22"/>
                <w:szCs w:val="18"/>
              </w:rPr>
              <w:t>讲解的商品正确关联商品链接</w:t>
            </w:r>
          </w:p>
        </w:tc>
        <w:tc>
          <w:tcPr>
            <w:tcW w:w="1549" w:type="dxa"/>
            <w:tcBorders>
              <w:left w:val="single" w:color="000000" w:sz="4" w:space="0"/>
              <w:right w:val="single" w:color="000000" w:sz="4" w:space="0"/>
            </w:tcBorders>
            <w:vAlign w:val="center"/>
          </w:tcPr>
          <w:p w14:paraId="068510D1">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1</w:t>
            </w:r>
          </w:p>
        </w:tc>
      </w:tr>
      <w:tr w14:paraId="74F1A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continue"/>
            <w:tcBorders>
              <w:left w:val="single" w:color="000000" w:sz="4" w:space="0"/>
              <w:right w:val="single" w:color="000000" w:sz="4" w:space="0"/>
            </w:tcBorders>
            <w:vAlign w:val="center"/>
          </w:tcPr>
          <w:p w14:paraId="3B0977ED">
            <w:pPr>
              <w:spacing w:line="240" w:lineRule="atLeast"/>
              <w:jc w:val="center"/>
              <w:rPr>
                <w:rFonts w:hint="eastAsia" w:ascii="仿宋" w:hAnsi="仿宋" w:eastAsia="仿宋" w:cs="仿宋"/>
                <w:b/>
                <w:bCs/>
                <w:sz w:val="22"/>
                <w:szCs w:val="18"/>
              </w:rPr>
            </w:pPr>
          </w:p>
        </w:tc>
        <w:tc>
          <w:tcPr>
            <w:tcW w:w="1591" w:type="dxa"/>
            <w:tcBorders>
              <w:left w:val="single" w:color="000000" w:sz="4" w:space="0"/>
              <w:right w:val="single" w:color="000000" w:sz="4" w:space="0"/>
            </w:tcBorders>
            <w:vAlign w:val="center"/>
          </w:tcPr>
          <w:p w14:paraId="754A9C15">
            <w:pPr>
              <w:spacing w:line="240" w:lineRule="atLeast"/>
              <w:jc w:val="center"/>
              <w:rPr>
                <w:rFonts w:hint="eastAsia" w:ascii="仿宋" w:hAnsi="仿宋" w:eastAsia="仿宋" w:cs="仿宋"/>
                <w:sz w:val="22"/>
                <w:szCs w:val="18"/>
              </w:rPr>
            </w:pPr>
            <w:r>
              <w:rPr>
                <w:rFonts w:hint="eastAsia" w:ascii="仿宋" w:hAnsi="仿宋" w:eastAsia="仿宋" w:cs="仿宋"/>
                <w:sz w:val="22"/>
                <w:szCs w:val="18"/>
              </w:rPr>
              <w:t>商品标题</w:t>
            </w:r>
          </w:p>
        </w:tc>
        <w:tc>
          <w:tcPr>
            <w:tcW w:w="4213" w:type="dxa"/>
            <w:tcBorders>
              <w:left w:val="single" w:color="000000" w:sz="4" w:space="0"/>
              <w:right w:val="single" w:color="000000" w:sz="4" w:space="0"/>
            </w:tcBorders>
            <w:vAlign w:val="center"/>
          </w:tcPr>
          <w:p w14:paraId="4A52D26E">
            <w:pPr>
              <w:spacing w:line="240" w:lineRule="atLeast"/>
              <w:jc w:val="left"/>
              <w:rPr>
                <w:rFonts w:hint="eastAsia" w:ascii="仿宋" w:hAnsi="仿宋" w:eastAsia="仿宋" w:cs="仿宋"/>
                <w:bCs/>
                <w:sz w:val="22"/>
                <w:szCs w:val="18"/>
              </w:rPr>
            </w:pPr>
            <w:r>
              <w:rPr>
                <w:rFonts w:hint="eastAsia" w:ascii="仿宋" w:hAnsi="仿宋" w:eastAsia="仿宋" w:cs="仿宋"/>
                <w:bCs/>
                <w:sz w:val="22"/>
                <w:szCs w:val="18"/>
              </w:rPr>
              <w:t>商品标题关键词符合背景资料介绍内容。</w:t>
            </w:r>
          </w:p>
        </w:tc>
        <w:tc>
          <w:tcPr>
            <w:tcW w:w="1549" w:type="dxa"/>
            <w:tcBorders>
              <w:left w:val="single" w:color="000000" w:sz="4" w:space="0"/>
              <w:right w:val="single" w:color="000000" w:sz="4" w:space="0"/>
            </w:tcBorders>
            <w:vAlign w:val="center"/>
          </w:tcPr>
          <w:p w14:paraId="665FA917">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2</w:t>
            </w:r>
          </w:p>
        </w:tc>
      </w:tr>
      <w:tr w14:paraId="6DE15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restart"/>
            <w:tcBorders>
              <w:left w:val="single" w:color="000000" w:sz="4" w:space="0"/>
              <w:right w:val="single" w:color="000000" w:sz="4" w:space="0"/>
            </w:tcBorders>
            <w:vAlign w:val="center"/>
          </w:tcPr>
          <w:p w14:paraId="75D15BD2">
            <w:pPr>
              <w:spacing w:line="240" w:lineRule="atLeast"/>
              <w:jc w:val="center"/>
              <w:rPr>
                <w:rFonts w:hint="eastAsia" w:ascii="仿宋" w:hAnsi="仿宋" w:eastAsia="仿宋" w:cs="仿宋"/>
                <w:b/>
                <w:bCs/>
                <w:sz w:val="22"/>
                <w:szCs w:val="18"/>
              </w:rPr>
            </w:pPr>
            <w:r>
              <w:rPr>
                <w:rFonts w:hint="eastAsia" w:ascii="仿宋" w:hAnsi="仿宋" w:eastAsia="仿宋" w:cs="仿宋"/>
                <w:b/>
                <w:bCs/>
                <w:sz w:val="22"/>
                <w:szCs w:val="18"/>
              </w:rPr>
              <w:t>直播实施</w:t>
            </w:r>
          </w:p>
        </w:tc>
        <w:tc>
          <w:tcPr>
            <w:tcW w:w="1591" w:type="dxa"/>
            <w:tcBorders>
              <w:left w:val="single" w:color="000000" w:sz="4" w:space="0"/>
              <w:right w:val="single" w:color="000000" w:sz="4" w:space="0"/>
            </w:tcBorders>
            <w:vAlign w:val="center"/>
          </w:tcPr>
          <w:p w14:paraId="7BBC71C2">
            <w:pPr>
              <w:spacing w:line="240" w:lineRule="atLeast"/>
              <w:jc w:val="center"/>
              <w:rPr>
                <w:rFonts w:hint="eastAsia" w:ascii="仿宋" w:hAnsi="仿宋" w:eastAsia="仿宋" w:cs="仿宋"/>
                <w:sz w:val="22"/>
                <w:szCs w:val="18"/>
              </w:rPr>
            </w:pPr>
            <w:r>
              <w:rPr>
                <w:rFonts w:hint="eastAsia" w:ascii="仿宋" w:hAnsi="仿宋" w:eastAsia="仿宋" w:cs="仿宋"/>
                <w:sz w:val="22"/>
                <w:szCs w:val="18"/>
              </w:rPr>
              <w:t>直播开场</w:t>
            </w:r>
          </w:p>
        </w:tc>
        <w:tc>
          <w:tcPr>
            <w:tcW w:w="4213" w:type="dxa"/>
            <w:tcBorders>
              <w:left w:val="single" w:color="000000" w:sz="4" w:space="0"/>
              <w:right w:val="single" w:color="000000" w:sz="4" w:space="0"/>
            </w:tcBorders>
            <w:vAlign w:val="center"/>
          </w:tcPr>
          <w:p w14:paraId="07652407">
            <w:pPr>
              <w:spacing w:line="240" w:lineRule="atLeast"/>
              <w:jc w:val="left"/>
              <w:rPr>
                <w:rFonts w:hint="eastAsia" w:ascii="仿宋" w:hAnsi="仿宋" w:eastAsia="仿宋" w:cs="仿宋"/>
                <w:bCs/>
                <w:sz w:val="22"/>
                <w:szCs w:val="18"/>
              </w:rPr>
            </w:pPr>
            <w:r>
              <w:rPr>
                <w:rFonts w:hint="eastAsia" w:ascii="仿宋" w:hAnsi="仿宋" w:eastAsia="仿宋" w:cs="仿宋"/>
                <w:bCs/>
                <w:sz w:val="22"/>
                <w:szCs w:val="18"/>
              </w:rPr>
              <w:t>直播开场需讲解以下四项内容：问好、自我介绍、本次直播计划、促销活动。</w:t>
            </w:r>
          </w:p>
        </w:tc>
        <w:tc>
          <w:tcPr>
            <w:tcW w:w="1549" w:type="dxa"/>
            <w:tcBorders>
              <w:left w:val="single" w:color="000000" w:sz="4" w:space="0"/>
              <w:right w:val="single" w:color="000000" w:sz="4" w:space="0"/>
            </w:tcBorders>
            <w:vAlign w:val="center"/>
          </w:tcPr>
          <w:p w14:paraId="4E23E075">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6</w:t>
            </w:r>
          </w:p>
        </w:tc>
      </w:tr>
      <w:tr w14:paraId="7AFF5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0" w:hRule="atLeast"/>
          <w:jc w:val="center"/>
        </w:trPr>
        <w:tc>
          <w:tcPr>
            <w:tcW w:w="1473" w:type="dxa"/>
            <w:vMerge w:val="continue"/>
            <w:tcBorders>
              <w:left w:val="single" w:color="000000" w:sz="4" w:space="0"/>
              <w:right w:val="single" w:color="000000" w:sz="4" w:space="0"/>
            </w:tcBorders>
            <w:vAlign w:val="center"/>
          </w:tcPr>
          <w:p w14:paraId="7A1F495B">
            <w:pPr>
              <w:spacing w:line="240" w:lineRule="atLeast"/>
              <w:jc w:val="center"/>
              <w:rPr>
                <w:rFonts w:hint="eastAsia" w:ascii="仿宋" w:hAnsi="仿宋" w:eastAsia="仿宋" w:cs="仿宋"/>
                <w:b/>
                <w:bCs/>
                <w:sz w:val="22"/>
                <w:szCs w:val="18"/>
              </w:rPr>
            </w:pPr>
          </w:p>
        </w:tc>
        <w:tc>
          <w:tcPr>
            <w:tcW w:w="1591" w:type="dxa"/>
            <w:vMerge w:val="restart"/>
            <w:tcBorders>
              <w:left w:val="single" w:color="000000" w:sz="4" w:space="0"/>
              <w:right w:val="single" w:color="000000" w:sz="4" w:space="0"/>
            </w:tcBorders>
            <w:vAlign w:val="center"/>
          </w:tcPr>
          <w:p w14:paraId="1D4E112F">
            <w:pPr>
              <w:spacing w:line="240" w:lineRule="atLeast"/>
              <w:jc w:val="center"/>
              <w:rPr>
                <w:rFonts w:hint="eastAsia" w:ascii="仿宋" w:hAnsi="仿宋" w:eastAsia="仿宋" w:cs="仿宋"/>
                <w:bCs/>
                <w:sz w:val="22"/>
                <w:szCs w:val="18"/>
              </w:rPr>
            </w:pPr>
            <w:r>
              <w:rPr>
                <w:rFonts w:hint="eastAsia" w:ascii="仿宋" w:hAnsi="仿宋" w:eastAsia="仿宋" w:cs="仿宋"/>
                <w:bCs/>
                <w:sz w:val="22"/>
                <w:szCs w:val="18"/>
              </w:rPr>
              <w:t>商品介绍</w:t>
            </w:r>
          </w:p>
        </w:tc>
        <w:tc>
          <w:tcPr>
            <w:tcW w:w="4213" w:type="dxa"/>
            <w:tcBorders>
              <w:left w:val="single" w:color="000000" w:sz="4" w:space="0"/>
              <w:right w:val="single" w:color="000000" w:sz="4" w:space="0"/>
            </w:tcBorders>
            <w:vAlign w:val="center"/>
          </w:tcPr>
          <w:p w14:paraId="56F60BEB">
            <w:pPr>
              <w:spacing w:line="240" w:lineRule="atLeast"/>
              <w:jc w:val="left"/>
              <w:rPr>
                <w:rFonts w:hint="eastAsia" w:ascii="仿宋" w:hAnsi="仿宋" w:eastAsia="仿宋" w:cs="仿宋"/>
                <w:bCs/>
                <w:sz w:val="22"/>
                <w:szCs w:val="18"/>
              </w:rPr>
            </w:pPr>
            <w:r>
              <w:rPr>
                <w:rFonts w:hint="eastAsia" w:ascii="仿宋" w:hAnsi="仿宋" w:eastAsia="仿宋" w:cs="仿宋"/>
                <w:bCs/>
                <w:sz w:val="22"/>
                <w:szCs w:val="18"/>
              </w:rPr>
              <w:t>正确介绍商品基本属性。</w:t>
            </w:r>
          </w:p>
        </w:tc>
        <w:tc>
          <w:tcPr>
            <w:tcW w:w="1549" w:type="dxa"/>
            <w:vMerge w:val="restart"/>
            <w:tcBorders>
              <w:left w:val="single" w:color="000000" w:sz="4" w:space="0"/>
              <w:right w:val="single" w:color="000000" w:sz="4" w:space="0"/>
            </w:tcBorders>
            <w:vAlign w:val="center"/>
          </w:tcPr>
          <w:p w14:paraId="38341A07">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18</w:t>
            </w:r>
          </w:p>
        </w:tc>
      </w:tr>
      <w:tr w14:paraId="5F66F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continue"/>
            <w:tcBorders>
              <w:left w:val="single" w:color="000000" w:sz="4" w:space="0"/>
              <w:right w:val="single" w:color="000000" w:sz="4" w:space="0"/>
            </w:tcBorders>
            <w:vAlign w:val="center"/>
          </w:tcPr>
          <w:p w14:paraId="306AC738">
            <w:pPr>
              <w:jc w:val="center"/>
              <w:rPr>
                <w:rFonts w:hint="eastAsia" w:ascii="仿宋" w:hAnsi="仿宋" w:eastAsia="仿宋" w:cs="仿宋"/>
                <w:b/>
                <w:bCs/>
                <w:szCs w:val="21"/>
              </w:rPr>
            </w:pPr>
          </w:p>
        </w:tc>
        <w:tc>
          <w:tcPr>
            <w:tcW w:w="1591" w:type="dxa"/>
            <w:vMerge w:val="continue"/>
            <w:tcBorders>
              <w:left w:val="single" w:color="000000" w:sz="4" w:space="0"/>
              <w:right w:val="single" w:color="000000" w:sz="4" w:space="0"/>
            </w:tcBorders>
            <w:vAlign w:val="center"/>
          </w:tcPr>
          <w:p w14:paraId="0B697A33">
            <w:pPr>
              <w:jc w:val="center"/>
              <w:rPr>
                <w:rFonts w:hint="eastAsia" w:ascii="仿宋" w:hAnsi="仿宋" w:eastAsia="仿宋" w:cs="仿宋"/>
                <w:bCs/>
                <w:szCs w:val="21"/>
              </w:rPr>
            </w:pPr>
          </w:p>
        </w:tc>
        <w:tc>
          <w:tcPr>
            <w:tcW w:w="4213" w:type="dxa"/>
            <w:tcBorders>
              <w:left w:val="single" w:color="000000" w:sz="4" w:space="0"/>
              <w:right w:val="single" w:color="000000" w:sz="4" w:space="0"/>
            </w:tcBorders>
            <w:vAlign w:val="center"/>
          </w:tcPr>
          <w:p w14:paraId="6881BB9C">
            <w:pPr>
              <w:spacing w:line="240" w:lineRule="atLeast"/>
              <w:jc w:val="left"/>
              <w:rPr>
                <w:rFonts w:hint="eastAsia" w:ascii="仿宋" w:hAnsi="仿宋" w:eastAsia="仿宋" w:cs="仿宋"/>
                <w:bCs/>
                <w:szCs w:val="21"/>
              </w:rPr>
            </w:pPr>
            <w:r>
              <w:rPr>
                <w:rFonts w:hint="eastAsia" w:ascii="仿宋" w:hAnsi="仿宋" w:eastAsia="仿宋" w:cs="仿宋"/>
                <w:bCs/>
                <w:sz w:val="24"/>
                <w:szCs w:val="20"/>
              </w:rPr>
              <w:t>能够讲解商品的卖点及特色，突出商品优势，强化直播间观众对直播商品的认知。</w:t>
            </w:r>
          </w:p>
        </w:tc>
        <w:tc>
          <w:tcPr>
            <w:tcW w:w="1549" w:type="dxa"/>
            <w:vMerge w:val="continue"/>
            <w:tcBorders>
              <w:left w:val="single" w:color="000000" w:sz="4" w:space="0"/>
              <w:right w:val="single" w:color="000000" w:sz="4" w:space="0"/>
            </w:tcBorders>
            <w:vAlign w:val="center"/>
          </w:tcPr>
          <w:p w14:paraId="54073BA5">
            <w:pPr>
              <w:jc w:val="center"/>
              <w:rPr>
                <w:rFonts w:hint="eastAsia" w:ascii="仿宋" w:hAnsi="仿宋" w:eastAsia="仿宋" w:cs="仿宋"/>
                <w:sz w:val="24"/>
                <w:highlight w:val="red"/>
              </w:rPr>
            </w:pPr>
          </w:p>
        </w:tc>
      </w:tr>
      <w:tr w14:paraId="24EEA2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jc w:val="center"/>
        </w:trPr>
        <w:tc>
          <w:tcPr>
            <w:tcW w:w="1473" w:type="dxa"/>
            <w:vMerge w:val="continue"/>
            <w:tcBorders>
              <w:left w:val="single" w:color="000000" w:sz="4" w:space="0"/>
              <w:right w:val="single" w:color="000000" w:sz="4" w:space="0"/>
            </w:tcBorders>
            <w:vAlign w:val="center"/>
          </w:tcPr>
          <w:p w14:paraId="0BDC343B">
            <w:pPr>
              <w:jc w:val="center"/>
              <w:rPr>
                <w:rFonts w:hint="eastAsia" w:ascii="仿宋" w:hAnsi="仿宋" w:eastAsia="仿宋" w:cs="仿宋"/>
                <w:b/>
                <w:bCs/>
                <w:szCs w:val="21"/>
              </w:rPr>
            </w:pPr>
          </w:p>
        </w:tc>
        <w:tc>
          <w:tcPr>
            <w:tcW w:w="1591" w:type="dxa"/>
            <w:tcBorders>
              <w:left w:val="single" w:color="000000" w:sz="4" w:space="0"/>
              <w:right w:val="single" w:color="000000" w:sz="4" w:space="0"/>
            </w:tcBorders>
            <w:vAlign w:val="center"/>
          </w:tcPr>
          <w:p w14:paraId="19CC7EF2">
            <w:pPr>
              <w:spacing w:line="240" w:lineRule="atLeast"/>
              <w:jc w:val="center"/>
              <w:rPr>
                <w:rFonts w:hint="eastAsia" w:ascii="仿宋" w:hAnsi="仿宋" w:eastAsia="仿宋" w:cs="仿宋"/>
                <w:bCs/>
                <w:sz w:val="24"/>
                <w:szCs w:val="20"/>
              </w:rPr>
            </w:pPr>
            <w:r>
              <w:rPr>
                <w:rFonts w:hint="eastAsia" w:ascii="仿宋" w:hAnsi="仿宋" w:eastAsia="仿宋" w:cs="仿宋"/>
                <w:bCs/>
                <w:sz w:val="24"/>
                <w:szCs w:val="20"/>
              </w:rPr>
              <w:t>信息卡设置</w:t>
            </w:r>
          </w:p>
        </w:tc>
        <w:tc>
          <w:tcPr>
            <w:tcW w:w="4213" w:type="dxa"/>
            <w:tcBorders>
              <w:left w:val="single" w:color="000000" w:sz="4" w:space="0"/>
              <w:right w:val="single" w:color="000000" w:sz="4" w:space="0"/>
            </w:tcBorders>
            <w:vAlign w:val="center"/>
          </w:tcPr>
          <w:p w14:paraId="552ED6A4">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选择合适的信息卡模板。</w:t>
            </w:r>
          </w:p>
        </w:tc>
        <w:tc>
          <w:tcPr>
            <w:tcW w:w="1549" w:type="dxa"/>
            <w:tcBorders>
              <w:left w:val="single" w:color="000000" w:sz="4" w:space="0"/>
              <w:right w:val="single" w:color="000000" w:sz="4" w:space="0"/>
            </w:tcBorders>
            <w:vAlign w:val="center"/>
          </w:tcPr>
          <w:p w14:paraId="00ED2B6C">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3</w:t>
            </w:r>
          </w:p>
        </w:tc>
      </w:tr>
      <w:tr w14:paraId="49925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1473" w:type="dxa"/>
            <w:vMerge w:val="continue"/>
            <w:tcBorders>
              <w:left w:val="single" w:color="000000" w:sz="4" w:space="0"/>
              <w:right w:val="single" w:color="000000" w:sz="4" w:space="0"/>
            </w:tcBorders>
            <w:vAlign w:val="center"/>
          </w:tcPr>
          <w:p w14:paraId="71EBB830">
            <w:pPr>
              <w:jc w:val="center"/>
              <w:rPr>
                <w:rFonts w:hint="eastAsia" w:ascii="仿宋" w:hAnsi="仿宋" w:eastAsia="仿宋" w:cs="仿宋"/>
                <w:b/>
                <w:bCs/>
                <w:szCs w:val="21"/>
              </w:rPr>
            </w:pPr>
          </w:p>
        </w:tc>
        <w:tc>
          <w:tcPr>
            <w:tcW w:w="1591" w:type="dxa"/>
            <w:tcBorders>
              <w:left w:val="single" w:color="000000" w:sz="4" w:space="0"/>
              <w:right w:val="single" w:color="000000" w:sz="4" w:space="0"/>
            </w:tcBorders>
            <w:vAlign w:val="center"/>
          </w:tcPr>
          <w:p w14:paraId="7B060A33">
            <w:pPr>
              <w:spacing w:line="240" w:lineRule="atLeast"/>
              <w:jc w:val="center"/>
              <w:rPr>
                <w:rFonts w:hint="eastAsia" w:ascii="仿宋" w:hAnsi="仿宋" w:eastAsia="仿宋" w:cs="仿宋"/>
                <w:bCs/>
                <w:sz w:val="24"/>
                <w:szCs w:val="20"/>
              </w:rPr>
            </w:pPr>
            <w:r>
              <w:rPr>
                <w:rFonts w:hint="eastAsia" w:ascii="仿宋" w:hAnsi="仿宋" w:eastAsia="仿宋" w:cs="仿宋"/>
                <w:bCs/>
                <w:sz w:val="24"/>
                <w:szCs w:val="20"/>
              </w:rPr>
              <w:t>弹幕问题回答</w:t>
            </w:r>
          </w:p>
        </w:tc>
        <w:tc>
          <w:tcPr>
            <w:tcW w:w="4213" w:type="dxa"/>
            <w:tcBorders>
              <w:left w:val="single" w:color="000000" w:sz="4" w:space="0"/>
              <w:right w:val="single" w:color="000000" w:sz="4" w:space="0"/>
            </w:tcBorders>
            <w:vAlign w:val="center"/>
          </w:tcPr>
          <w:p w14:paraId="31C23965">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准确完成弹幕问题的回答。</w:t>
            </w:r>
          </w:p>
        </w:tc>
        <w:tc>
          <w:tcPr>
            <w:tcW w:w="1549" w:type="dxa"/>
            <w:tcBorders>
              <w:left w:val="single" w:color="000000" w:sz="4" w:space="0"/>
              <w:right w:val="single" w:color="000000" w:sz="4" w:space="0"/>
            </w:tcBorders>
            <w:vAlign w:val="center"/>
          </w:tcPr>
          <w:p w14:paraId="03209CB4">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12</w:t>
            </w:r>
          </w:p>
        </w:tc>
      </w:tr>
      <w:tr w14:paraId="096DD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continue"/>
            <w:tcBorders>
              <w:left w:val="single" w:color="000000" w:sz="4" w:space="0"/>
              <w:right w:val="single" w:color="000000" w:sz="4" w:space="0"/>
            </w:tcBorders>
            <w:vAlign w:val="center"/>
          </w:tcPr>
          <w:p w14:paraId="0EBBF1E5">
            <w:pPr>
              <w:jc w:val="center"/>
              <w:rPr>
                <w:rFonts w:hint="eastAsia" w:ascii="仿宋" w:hAnsi="仿宋" w:eastAsia="仿宋" w:cs="仿宋"/>
                <w:b/>
                <w:bCs/>
                <w:szCs w:val="21"/>
              </w:rPr>
            </w:pPr>
          </w:p>
        </w:tc>
        <w:tc>
          <w:tcPr>
            <w:tcW w:w="1591" w:type="dxa"/>
            <w:tcBorders>
              <w:left w:val="single" w:color="000000" w:sz="4" w:space="0"/>
              <w:right w:val="single" w:color="000000" w:sz="4" w:space="0"/>
            </w:tcBorders>
            <w:vAlign w:val="center"/>
          </w:tcPr>
          <w:p w14:paraId="5B3B8E72">
            <w:pPr>
              <w:spacing w:line="240" w:lineRule="atLeast"/>
              <w:jc w:val="center"/>
              <w:rPr>
                <w:rFonts w:hint="eastAsia" w:ascii="仿宋" w:hAnsi="仿宋" w:eastAsia="仿宋" w:cs="仿宋"/>
                <w:bCs/>
                <w:sz w:val="24"/>
                <w:szCs w:val="20"/>
              </w:rPr>
            </w:pPr>
            <w:r>
              <w:rPr>
                <w:rFonts w:hint="eastAsia" w:ascii="仿宋" w:hAnsi="仿宋" w:eastAsia="仿宋" w:cs="仿宋"/>
                <w:bCs/>
                <w:sz w:val="24"/>
                <w:szCs w:val="20"/>
              </w:rPr>
              <w:t>直播互动</w:t>
            </w:r>
          </w:p>
        </w:tc>
        <w:tc>
          <w:tcPr>
            <w:tcW w:w="4213" w:type="dxa"/>
            <w:tcBorders>
              <w:left w:val="single" w:color="000000" w:sz="4" w:space="0"/>
              <w:right w:val="single" w:color="000000" w:sz="4" w:space="0"/>
            </w:tcBorders>
            <w:vAlign w:val="center"/>
          </w:tcPr>
          <w:p w14:paraId="16D4845B">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在互动面板设置两种有弹出效果的互动方案，互动讲解节奏安排合理恰当，能够有效活跃直播间氛围。</w:t>
            </w:r>
          </w:p>
        </w:tc>
        <w:tc>
          <w:tcPr>
            <w:tcW w:w="1549" w:type="dxa"/>
            <w:tcBorders>
              <w:left w:val="single" w:color="000000" w:sz="4" w:space="0"/>
              <w:right w:val="single" w:color="000000" w:sz="4" w:space="0"/>
            </w:tcBorders>
            <w:vAlign w:val="center"/>
          </w:tcPr>
          <w:p w14:paraId="71E661D6">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8</w:t>
            </w:r>
          </w:p>
        </w:tc>
      </w:tr>
      <w:tr w14:paraId="73542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continue"/>
            <w:tcBorders>
              <w:left w:val="single" w:color="000000" w:sz="4" w:space="0"/>
              <w:right w:val="single" w:color="000000" w:sz="4" w:space="0"/>
            </w:tcBorders>
            <w:vAlign w:val="center"/>
          </w:tcPr>
          <w:p w14:paraId="568B0735">
            <w:pPr>
              <w:jc w:val="center"/>
              <w:rPr>
                <w:rFonts w:hint="eastAsia" w:ascii="仿宋" w:hAnsi="仿宋" w:eastAsia="仿宋" w:cs="仿宋"/>
                <w:b/>
                <w:bCs/>
                <w:szCs w:val="21"/>
              </w:rPr>
            </w:pPr>
          </w:p>
        </w:tc>
        <w:tc>
          <w:tcPr>
            <w:tcW w:w="1591" w:type="dxa"/>
            <w:tcBorders>
              <w:left w:val="single" w:color="000000" w:sz="4" w:space="0"/>
              <w:right w:val="single" w:color="000000" w:sz="4" w:space="0"/>
            </w:tcBorders>
            <w:vAlign w:val="center"/>
          </w:tcPr>
          <w:p w14:paraId="2EA05532">
            <w:pPr>
              <w:spacing w:line="240" w:lineRule="atLeast"/>
              <w:jc w:val="center"/>
              <w:rPr>
                <w:rFonts w:hint="eastAsia" w:ascii="仿宋" w:hAnsi="仿宋" w:eastAsia="仿宋" w:cs="仿宋"/>
                <w:bCs/>
                <w:sz w:val="24"/>
                <w:szCs w:val="20"/>
              </w:rPr>
            </w:pPr>
            <w:r>
              <w:rPr>
                <w:rFonts w:hint="eastAsia" w:ascii="仿宋" w:hAnsi="仿宋" w:eastAsia="仿宋" w:cs="仿宋"/>
                <w:bCs/>
                <w:sz w:val="24"/>
                <w:szCs w:val="20"/>
              </w:rPr>
              <w:t>直播结尾</w:t>
            </w:r>
          </w:p>
        </w:tc>
        <w:tc>
          <w:tcPr>
            <w:tcW w:w="4213" w:type="dxa"/>
            <w:tcBorders>
              <w:left w:val="single" w:color="000000" w:sz="4" w:space="0"/>
              <w:right w:val="single" w:color="000000" w:sz="4" w:space="0"/>
            </w:tcBorders>
            <w:vAlign w:val="center"/>
          </w:tcPr>
          <w:p w14:paraId="57F129F1">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能够进行直播收尾讲解，通过引导关注、感谢语等内容的讲解，将直播间观众转化为粉丝，引发观众留恋。</w:t>
            </w:r>
          </w:p>
        </w:tc>
        <w:tc>
          <w:tcPr>
            <w:tcW w:w="1549" w:type="dxa"/>
            <w:tcBorders>
              <w:left w:val="single" w:color="000000" w:sz="4" w:space="0"/>
              <w:right w:val="single" w:color="000000" w:sz="4" w:space="0"/>
            </w:tcBorders>
            <w:vAlign w:val="center"/>
          </w:tcPr>
          <w:p w14:paraId="59E2E707">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3</w:t>
            </w:r>
          </w:p>
        </w:tc>
      </w:tr>
      <w:tr w14:paraId="70506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continue"/>
            <w:tcBorders>
              <w:left w:val="single" w:color="000000" w:sz="4" w:space="0"/>
              <w:right w:val="single" w:color="000000" w:sz="4" w:space="0"/>
            </w:tcBorders>
            <w:vAlign w:val="center"/>
          </w:tcPr>
          <w:p w14:paraId="7E8A266B">
            <w:pPr>
              <w:jc w:val="center"/>
              <w:rPr>
                <w:rFonts w:hint="eastAsia" w:ascii="仿宋" w:hAnsi="仿宋" w:eastAsia="仿宋" w:cs="仿宋"/>
                <w:b/>
                <w:bCs/>
                <w:szCs w:val="21"/>
              </w:rPr>
            </w:pPr>
          </w:p>
        </w:tc>
        <w:tc>
          <w:tcPr>
            <w:tcW w:w="1591" w:type="dxa"/>
            <w:tcBorders>
              <w:left w:val="single" w:color="000000" w:sz="4" w:space="0"/>
              <w:right w:val="single" w:color="000000" w:sz="4" w:space="0"/>
            </w:tcBorders>
            <w:vAlign w:val="center"/>
          </w:tcPr>
          <w:p w14:paraId="14F0CEAF">
            <w:pPr>
              <w:spacing w:line="240" w:lineRule="atLeast"/>
              <w:jc w:val="center"/>
              <w:rPr>
                <w:rFonts w:hint="eastAsia" w:ascii="仿宋" w:hAnsi="仿宋" w:eastAsia="仿宋" w:cs="仿宋"/>
                <w:bCs/>
                <w:sz w:val="24"/>
                <w:szCs w:val="20"/>
              </w:rPr>
            </w:pPr>
            <w:r>
              <w:rPr>
                <w:rFonts w:hint="eastAsia" w:ascii="仿宋" w:hAnsi="仿宋" w:eastAsia="仿宋" w:cs="仿宋"/>
                <w:bCs/>
                <w:sz w:val="24"/>
                <w:szCs w:val="20"/>
              </w:rPr>
              <w:t>直播视频</w:t>
            </w:r>
          </w:p>
        </w:tc>
        <w:tc>
          <w:tcPr>
            <w:tcW w:w="4213" w:type="dxa"/>
            <w:tcBorders>
              <w:left w:val="single" w:color="000000" w:sz="4" w:space="0"/>
              <w:right w:val="single" w:color="000000" w:sz="4" w:space="0"/>
            </w:tcBorders>
            <w:vAlign w:val="center"/>
          </w:tcPr>
          <w:p w14:paraId="7535D421">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直播讲解过程整体非常流畅、衔接自然，没有</w:t>
            </w:r>
            <w:r>
              <w:rPr>
                <w:rFonts w:ascii="Times New Roman" w:hAnsi="Times New Roman" w:eastAsia="仿宋"/>
                <w:bCs/>
                <w:sz w:val="24"/>
                <w:szCs w:val="20"/>
              </w:rPr>
              <w:t>10</w:t>
            </w:r>
            <w:r>
              <w:rPr>
                <w:rFonts w:hint="eastAsia" w:ascii="仿宋" w:hAnsi="仿宋" w:eastAsia="仿宋" w:cs="仿宋"/>
                <w:bCs/>
                <w:sz w:val="24"/>
                <w:szCs w:val="20"/>
              </w:rPr>
              <w:t>秒以上得卡顿、冷场。</w:t>
            </w:r>
          </w:p>
        </w:tc>
        <w:tc>
          <w:tcPr>
            <w:tcW w:w="1549" w:type="dxa"/>
            <w:tcBorders>
              <w:left w:val="single" w:color="000000" w:sz="4" w:space="0"/>
              <w:right w:val="single" w:color="000000" w:sz="4" w:space="0"/>
            </w:tcBorders>
            <w:vAlign w:val="center"/>
          </w:tcPr>
          <w:p w14:paraId="2D17FDE9">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6</w:t>
            </w:r>
          </w:p>
        </w:tc>
      </w:tr>
      <w:tr w14:paraId="43FD0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3" w:type="dxa"/>
            <w:vMerge w:val="continue"/>
            <w:tcBorders>
              <w:left w:val="single" w:color="000000" w:sz="4" w:space="0"/>
              <w:right w:val="single" w:color="000000" w:sz="4" w:space="0"/>
            </w:tcBorders>
            <w:vAlign w:val="center"/>
          </w:tcPr>
          <w:p w14:paraId="41A60D4A">
            <w:pPr>
              <w:jc w:val="center"/>
              <w:rPr>
                <w:rFonts w:hint="eastAsia" w:ascii="仿宋" w:hAnsi="仿宋" w:eastAsia="仿宋" w:cs="仿宋"/>
                <w:b/>
                <w:bCs/>
                <w:szCs w:val="21"/>
              </w:rPr>
            </w:pPr>
          </w:p>
        </w:tc>
        <w:tc>
          <w:tcPr>
            <w:tcW w:w="1591" w:type="dxa"/>
            <w:tcBorders>
              <w:left w:val="single" w:color="000000" w:sz="4" w:space="0"/>
              <w:right w:val="single" w:color="000000" w:sz="4" w:space="0"/>
            </w:tcBorders>
            <w:vAlign w:val="center"/>
          </w:tcPr>
          <w:p w14:paraId="1A5895DE">
            <w:pPr>
              <w:spacing w:line="240" w:lineRule="atLeast"/>
              <w:jc w:val="center"/>
              <w:rPr>
                <w:rFonts w:hint="eastAsia" w:ascii="仿宋" w:hAnsi="仿宋" w:eastAsia="仿宋" w:cs="仿宋"/>
                <w:bCs/>
                <w:sz w:val="24"/>
                <w:szCs w:val="20"/>
              </w:rPr>
            </w:pPr>
            <w:r>
              <w:rPr>
                <w:rFonts w:hint="eastAsia" w:ascii="仿宋" w:hAnsi="仿宋" w:eastAsia="仿宋" w:cs="仿宋"/>
                <w:sz w:val="22"/>
                <w:szCs w:val="18"/>
              </w:rPr>
              <w:t>直播时长</w:t>
            </w:r>
          </w:p>
        </w:tc>
        <w:tc>
          <w:tcPr>
            <w:tcW w:w="4213" w:type="dxa"/>
            <w:tcBorders>
              <w:left w:val="single" w:color="000000" w:sz="4" w:space="0"/>
              <w:right w:val="single" w:color="000000" w:sz="4" w:space="0"/>
            </w:tcBorders>
            <w:vAlign w:val="center"/>
          </w:tcPr>
          <w:p w14:paraId="537A3226">
            <w:pPr>
              <w:spacing w:line="240" w:lineRule="atLeast"/>
              <w:jc w:val="left"/>
              <w:rPr>
                <w:rFonts w:hint="eastAsia" w:ascii="仿宋" w:hAnsi="仿宋" w:eastAsia="仿宋" w:cs="仿宋"/>
                <w:bCs/>
                <w:sz w:val="24"/>
                <w:szCs w:val="20"/>
              </w:rPr>
            </w:pPr>
            <w:r>
              <w:rPr>
                <w:rFonts w:hint="eastAsia" w:ascii="仿宋" w:hAnsi="仿宋" w:eastAsia="仿宋" w:cs="仿宋"/>
                <w:bCs/>
                <w:sz w:val="22"/>
                <w:szCs w:val="18"/>
              </w:rPr>
              <w:t>直播时长达到</w:t>
            </w:r>
            <w:r>
              <w:rPr>
                <w:rFonts w:ascii="Times New Roman" w:hAnsi="Times New Roman" w:eastAsia="仿宋"/>
                <w:bCs/>
                <w:sz w:val="22"/>
                <w:szCs w:val="18"/>
              </w:rPr>
              <w:t>10</w:t>
            </w:r>
            <w:r>
              <w:rPr>
                <w:rFonts w:hint="eastAsia" w:ascii="仿宋" w:hAnsi="仿宋" w:eastAsia="仿宋" w:cs="仿宋"/>
                <w:bCs/>
                <w:sz w:val="22"/>
                <w:szCs w:val="18"/>
              </w:rPr>
              <w:t>分钟</w:t>
            </w:r>
          </w:p>
        </w:tc>
        <w:tc>
          <w:tcPr>
            <w:tcW w:w="1549" w:type="dxa"/>
            <w:tcBorders>
              <w:left w:val="single" w:color="000000" w:sz="4" w:space="0"/>
              <w:right w:val="single" w:color="000000" w:sz="4" w:space="0"/>
            </w:tcBorders>
            <w:vAlign w:val="center"/>
          </w:tcPr>
          <w:p w14:paraId="11E2C71B">
            <w:pPr>
              <w:widowControl/>
              <w:jc w:val="center"/>
              <w:textAlignment w:val="center"/>
              <w:rPr>
                <w:rFonts w:hint="eastAsia" w:ascii="仿宋" w:hAnsi="仿宋" w:eastAsia="仿宋" w:cs="仿宋"/>
                <w:color w:val="000000"/>
                <w:kern w:val="0"/>
                <w:sz w:val="24"/>
                <w:lang w:bidi="ar"/>
              </w:rPr>
            </w:pPr>
            <w:r>
              <w:rPr>
                <w:rFonts w:ascii="Times New Roman" w:hAnsi="Times New Roman" w:eastAsia="仿宋"/>
                <w:color w:val="000000"/>
                <w:kern w:val="0"/>
                <w:sz w:val="24"/>
                <w:lang w:bidi="ar"/>
              </w:rPr>
              <w:t>8</w:t>
            </w:r>
          </w:p>
        </w:tc>
      </w:tr>
      <w:tr w14:paraId="71FF9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1473" w:type="dxa"/>
            <w:vMerge w:val="continue"/>
            <w:tcBorders>
              <w:left w:val="single" w:color="000000" w:sz="4" w:space="0"/>
              <w:right w:val="single" w:color="000000" w:sz="4" w:space="0"/>
            </w:tcBorders>
            <w:vAlign w:val="center"/>
          </w:tcPr>
          <w:p w14:paraId="569F6B39">
            <w:pPr>
              <w:jc w:val="center"/>
              <w:rPr>
                <w:rFonts w:hint="eastAsia" w:ascii="仿宋" w:hAnsi="仿宋" w:eastAsia="仿宋" w:cs="仿宋"/>
                <w:b/>
                <w:bCs/>
                <w:szCs w:val="21"/>
              </w:rPr>
            </w:pPr>
          </w:p>
        </w:tc>
        <w:tc>
          <w:tcPr>
            <w:tcW w:w="1591" w:type="dxa"/>
            <w:tcBorders>
              <w:left w:val="single" w:color="000000" w:sz="4" w:space="0"/>
              <w:right w:val="single" w:color="000000" w:sz="4" w:space="0"/>
            </w:tcBorders>
            <w:vAlign w:val="center"/>
          </w:tcPr>
          <w:p w14:paraId="3CE14B30">
            <w:pPr>
              <w:spacing w:line="240" w:lineRule="atLeast"/>
              <w:jc w:val="center"/>
              <w:rPr>
                <w:rFonts w:hint="eastAsia" w:ascii="仿宋" w:hAnsi="仿宋" w:eastAsia="仿宋" w:cs="仿宋"/>
                <w:bCs/>
                <w:sz w:val="24"/>
                <w:szCs w:val="20"/>
              </w:rPr>
            </w:pPr>
            <w:r>
              <w:rPr>
                <w:rFonts w:hint="eastAsia" w:ascii="仿宋" w:hAnsi="仿宋" w:eastAsia="仿宋" w:cs="仿宋"/>
                <w:bCs/>
                <w:sz w:val="24"/>
                <w:szCs w:val="20"/>
              </w:rPr>
              <w:t>直播效果整体评价</w:t>
            </w:r>
          </w:p>
        </w:tc>
        <w:tc>
          <w:tcPr>
            <w:tcW w:w="4213" w:type="dxa"/>
            <w:tcBorders>
              <w:left w:val="single" w:color="000000" w:sz="4" w:space="0"/>
              <w:right w:val="single" w:color="000000" w:sz="4" w:space="0"/>
            </w:tcBorders>
            <w:vAlign w:val="center"/>
          </w:tcPr>
          <w:p w14:paraId="2A0E5657">
            <w:pPr>
              <w:spacing w:line="240" w:lineRule="atLeast"/>
              <w:jc w:val="left"/>
              <w:rPr>
                <w:rFonts w:hint="eastAsia" w:ascii="仿宋" w:hAnsi="仿宋" w:eastAsia="仿宋" w:cs="仿宋"/>
                <w:bCs/>
                <w:sz w:val="24"/>
                <w:szCs w:val="20"/>
              </w:rPr>
            </w:pPr>
            <w:r>
              <w:rPr>
                <w:rFonts w:hint="eastAsia" w:ascii="仿宋" w:hAnsi="仿宋" w:eastAsia="仿宋" w:cs="仿宋"/>
                <w:bCs/>
                <w:sz w:val="24"/>
                <w:szCs w:val="20"/>
              </w:rPr>
              <w:t>能对背景资料进行加工，内容有吸引力，直播讲解充满激情。</w:t>
            </w:r>
          </w:p>
        </w:tc>
        <w:tc>
          <w:tcPr>
            <w:tcW w:w="1549" w:type="dxa"/>
            <w:tcBorders>
              <w:left w:val="single" w:color="000000" w:sz="4" w:space="0"/>
              <w:right w:val="single" w:color="000000" w:sz="4" w:space="0"/>
            </w:tcBorders>
            <w:vAlign w:val="center"/>
          </w:tcPr>
          <w:p w14:paraId="031322A6">
            <w:pPr>
              <w:widowControl/>
              <w:jc w:val="center"/>
              <w:textAlignment w:val="center"/>
              <w:rPr>
                <w:rFonts w:hint="eastAsia" w:ascii="仿宋" w:hAnsi="仿宋" w:eastAsia="仿宋" w:cs="仿宋"/>
                <w:sz w:val="24"/>
                <w:highlight w:val="red"/>
              </w:rPr>
            </w:pPr>
            <w:r>
              <w:rPr>
                <w:rFonts w:ascii="Times New Roman" w:hAnsi="Times New Roman" w:eastAsia="仿宋"/>
                <w:color w:val="000000"/>
                <w:kern w:val="0"/>
                <w:sz w:val="24"/>
                <w:lang w:bidi="ar"/>
              </w:rPr>
              <w:t>15</w:t>
            </w:r>
          </w:p>
        </w:tc>
      </w:tr>
    </w:tbl>
    <w:p w14:paraId="2B267F2F">
      <w:pPr>
        <w:spacing w:line="560" w:lineRule="exact"/>
        <w:ind w:firstLine="640" w:firstLineChars="200"/>
        <w:rPr>
          <w:rFonts w:hint="eastAsia" w:ascii="仿宋" w:hAnsi="仿宋" w:eastAsia="仿宋" w:cs="仿宋"/>
          <w:sz w:val="32"/>
          <w:szCs w:val="32"/>
        </w:rPr>
      </w:pPr>
    </w:p>
    <w:p w14:paraId="7527682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比赛最终得分=互联网营销职业技能测评*</w:t>
      </w:r>
      <w:r>
        <w:rPr>
          <w:rFonts w:ascii="Times New Roman" w:hAnsi="Times New Roman" w:eastAsia="仿宋_GB2312"/>
          <w:sz w:val="32"/>
          <w:szCs w:val="32"/>
        </w:rPr>
        <w:t>30</w:t>
      </w:r>
      <w:r>
        <w:rPr>
          <w:rFonts w:hint="eastAsia" w:ascii="仿宋_GB2312" w:hAnsi="仿宋_GB2312" w:eastAsia="仿宋_GB2312" w:cs="仿宋_GB2312"/>
          <w:sz w:val="32"/>
          <w:szCs w:val="32"/>
        </w:rPr>
        <w:t>%+直播营销策划实施*</w:t>
      </w:r>
      <w:r>
        <w:rPr>
          <w:rFonts w:ascii="Times New Roman" w:hAnsi="Times New Roman" w:eastAsia="仿宋_GB2312"/>
          <w:sz w:val="32"/>
          <w:szCs w:val="32"/>
        </w:rPr>
        <w:t>70</w:t>
      </w:r>
      <w:r>
        <w:rPr>
          <w:rFonts w:hint="eastAsia" w:ascii="仿宋_GB2312" w:hAnsi="仿宋_GB2312" w:eastAsia="仿宋_GB2312" w:cs="仿宋_GB2312"/>
          <w:sz w:val="32"/>
          <w:szCs w:val="32"/>
        </w:rPr>
        <w:t>%。</w:t>
      </w:r>
    </w:p>
    <w:p w14:paraId="5A27690B">
      <w:pPr>
        <w:spacing w:line="560" w:lineRule="exact"/>
        <w:ind w:firstLine="643" w:firstLineChars="200"/>
        <w:rPr>
          <w:rFonts w:hint="eastAsia" w:ascii="仿宋_GB2312" w:hAnsi="仿宋_GB2312" w:eastAsia="仿宋_GB2312" w:cs="仿宋_GB2312"/>
          <w:b/>
          <w:bCs/>
          <w:sz w:val="32"/>
          <w:szCs w:val="32"/>
        </w:rPr>
      </w:pPr>
      <w:r>
        <w:rPr>
          <w:rFonts w:ascii="Times New Roman" w:hAnsi="Times New Roman" w:eastAsia="仿宋_GB2312"/>
          <w:b/>
          <w:bCs/>
          <w:sz w:val="32"/>
          <w:szCs w:val="32"/>
        </w:rPr>
        <w:t>4</w:t>
      </w:r>
      <w:r>
        <w:rPr>
          <w:rFonts w:hint="eastAsia" w:ascii="仿宋_GB2312" w:hAnsi="仿宋_GB2312" w:eastAsia="仿宋_GB2312" w:cs="仿宋_GB2312"/>
          <w:b/>
          <w:bCs/>
          <w:sz w:val="32"/>
          <w:szCs w:val="32"/>
        </w:rPr>
        <w:t>.成绩并列</w:t>
      </w:r>
      <w:bookmarkEnd w:id="69"/>
      <w:bookmarkEnd w:id="70"/>
    </w:p>
    <w:p w14:paraId="34F5AE6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当出现多名选手总成绩并列时，优先以各选手直播总体效果成绩的高低进行排名。</w:t>
      </w:r>
    </w:p>
    <w:p w14:paraId="503166DC">
      <w:pPr>
        <w:pStyle w:val="14"/>
        <w:spacing w:line="560" w:lineRule="exact"/>
        <w:ind w:firstLine="640" w:firstLineChars="200"/>
        <w:rPr>
          <w:rFonts w:hint="eastAsia" w:ascii="仿宋" w:hAnsi="仿宋" w:eastAsia="仿宋" w:cs="仿宋"/>
          <w:sz w:val="32"/>
          <w:szCs w:val="32"/>
        </w:rPr>
      </w:pPr>
      <w:r>
        <w:rPr>
          <w:rFonts w:hint="eastAsia" w:ascii="仿宋_GB2312" w:hAnsi="仿宋_GB2312" w:eastAsia="仿宋_GB2312" w:cs="仿宋_GB2312"/>
          <w:sz w:val="32"/>
          <w:szCs w:val="32"/>
        </w:rPr>
        <w:t>备注：本赛项出现所有模块成绩相同的情况极小</w:t>
      </w:r>
      <w:r>
        <w:rPr>
          <w:rFonts w:hint="eastAsia" w:ascii="仿宋" w:hAnsi="仿宋" w:eastAsia="仿宋" w:cs="仿宋"/>
          <w:sz w:val="32"/>
          <w:szCs w:val="32"/>
        </w:rPr>
        <w:t>。</w:t>
      </w:r>
    </w:p>
    <w:p w14:paraId="1243E8E8">
      <w:pPr>
        <w:spacing w:after="160" w:line="560" w:lineRule="exact"/>
        <w:ind w:firstLine="640" w:firstLineChars="200"/>
        <w:outlineLvl w:val="0"/>
        <w:rPr>
          <w:rFonts w:hint="eastAsia" w:ascii="黑体" w:hAnsi="黑体" w:eastAsia="黑体" w:cs="黑体"/>
          <w:bCs/>
          <w:sz w:val="32"/>
          <w:szCs w:val="32"/>
        </w:rPr>
      </w:pPr>
      <w:bookmarkStart w:id="71" w:name="_Toc141450653"/>
      <w:bookmarkStart w:id="72" w:name="_Toc3017"/>
      <w:bookmarkStart w:id="73" w:name="_Toc772"/>
      <w:bookmarkStart w:id="74" w:name="_Toc32488"/>
      <w:bookmarkStart w:id="75" w:name="_Toc30060"/>
      <w:bookmarkStart w:id="76" w:name="_Toc26480"/>
      <w:bookmarkStart w:id="77" w:name="_Toc26158"/>
      <w:bookmarkStart w:id="78" w:name="_Toc30078"/>
      <w:r>
        <w:rPr>
          <w:rFonts w:hint="eastAsia" w:ascii="黑体" w:hAnsi="黑体" w:eastAsia="黑体" w:cs="黑体"/>
          <w:bCs/>
          <w:sz w:val="32"/>
          <w:szCs w:val="32"/>
        </w:rPr>
        <w:t>四、竞赛细则</w:t>
      </w:r>
      <w:bookmarkEnd w:id="71"/>
      <w:bookmarkEnd w:id="72"/>
      <w:bookmarkEnd w:id="73"/>
      <w:bookmarkEnd w:id="74"/>
      <w:bookmarkEnd w:id="75"/>
      <w:bookmarkEnd w:id="76"/>
      <w:bookmarkEnd w:id="77"/>
      <w:bookmarkEnd w:id="78"/>
    </w:p>
    <w:p w14:paraId="524ABDBC">
      <w:pPr>
        <w:spacing w:line="560" w:lineRule="exact"/>
        <w:ind w:firstLine="640" w:firstLineChars="200"/>
        <w:outlineLvl w:val="1"/>
        <w:rPr>
          <w:rFonts w:hint="eastAsia" w:ascii="仿宋_GB2312" w:hAnsi="仿宋_GB2312" w:eastAsia="仿宋_GB2312" w:cs="仿宋_GB2312"/>
          <w:bCs/>
          <w:sz w:val="32"/>
          <w:szCs w:val="32"/>
        </w:rPr>
      </w:pPr>
      <w:bookmarkStart w:id="79" w:name="_Toc141450654"/>
      <w:bookmarkStart w:id="80" w:name="_Toc19586"/>
      <w:bookmarkStart w:id="81" w:name="_Toc1264"/>
      <w:bookmarkStart w:id="82" w:name="_Toc13472"/>
      <w:bookmarkStart w:id="83" w:name="_Toc16357"/>
      <w:bookmarkStart w:id="84" w:name="_Toc23951"/>
      <w:r>
        <w:rPr>
          <w:rFonts w:hint="eastAsia" w:ascii="仿宋_GB2312" w:hAnsi="仿宋_GB2312" w:eastAsia="仿宋_GB2312" w:cs="仿宋_GB2312"/>
          <w:bCs/>
          <w:sz w:val="32"/>
          <w:szCs w:val="32"/>
        </w:rPr>
        <w:t>（一）竞赛流程安排</w:t>
      </w:r>
      <w:bookmarkEnd w:id="79"/>
      <w:bookmarkEnd w:id="80"/>
      <w:bookmarkEnd w:id="81"/>
      <w:bookmarkEnd w:id="82"/>
      <w:bookmarkEnd w:id="83"/>
      <w:bookmarkEnd w:id="84"/>
    </w:p>
    <w:tbl>
      <w:tblPr>
        <w:tblStyle w:val="16"/>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2671"/>
        <w:gridCol w:w="4420"/>
      </w:tblGrid>
      <w:tr w14:paraId="38CB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478" w:type="dxa"/>
            <w:vAlign w:val="center"/>
          </w:tcPr>
          <w:p w14:paraId="185DAAA5">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日期</w:t>
            </w:r>
          </w:p>
        </w:tc>
        <w:tc>
          <w:tcPr>
            <w:tcW w:w="2671" w:type="dxa"/>
            <w:vAlign w:val="center"/>
          </w:tcPr>
          <w:p w14:paraId="5C682B25">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时间</w:t>
            </w:r>
          </w:p>
        </w:tc>
        <w:tc>
          <w:tcPr>
            <w:tcW w:w="4420" w:type="dxa"/>
            <w:vAlign w:val="center"/>
          </w:tcPr>
          <w:p w14:paraId="234C14EB">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事项</w:t>
            </w:r>
          </w:p>
        </w:tc>
      </w:tr>
      <w:tr w14:paraId="577E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478" w:type="dxa"/>
            <w:vMerge w:val="restart"/>
            <w:vAlign w:val="center"/>
          </w:tcPr>
          <w:p w14:paraId="6674E521">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比赛日</w:t>
            </w:r>
          </w:p>
        </w:tc>
        <w:tc>
          <w:tcPr>
            <w:tcW w:w="2671" w:type="dxa"/>
            <w:vAlign w:val="center"/>
          </w:tcPr>
          <w:p w14:paraId="2D871E06">
            <w:pPr>
              <w:pStyle w:val="26"/>
              <w:spacing w:line="360" w:lineRule="exact"/>
              <w:ind w:left="102"/>
              <w:rPr>
                <w:rFonts w:hint="eastAsia" w:ascii="仿宋" w:hAnsi="仿宋" w:eastAsia="仿宋" w:cs="Times New Roman"/>
                <w:lang w:eastAsia="zh-CN"/>
              </w:rPr>
            </w:pPr>
            <w:r>
              <w:rPr>
                <w:rFonts w:ascii="Times New Roman" w:hAnsi="Times New Roman" w:eastAsia="仿宋" w:cs="Times New Roman"/>
                <w:lang w:eastAsia="zh-CN"/>
              </w:rPr>
              <w:t>8</w:t>
            </w:r>
            <w:r>
              <w:rPr>
                <w:rFonts w:hint="eastAsia" w:ascii="仿宋" w:hAnsi="仿宋" w:eastAsia="仿宋" w:cs="Times New Roman"/>
                <w:lang w:eastAsia="zh-CN"/>
              </w:rPr>
              <w:t>:</w:t>
            </w:r>
            <w:r>
              <w:rPr>
                <w:rFonts w:ascii="Times New Roman" w:hAnsi="Times New Roman" w:eastAsia="仿宋" w:cs="Times New Roman"/>
                <w:lang w:eastAsia="zh-CN"/>
              </w:rPr>
              <w:t>00</w:t>
            </w:r>
            <w:r>
              <w:rPr>
                <w:rFonts w:hint="eastAsia" w:ascii="仿宋" w:hAnsi="仿宋" w:eastAsia="仿宋" w:cs="Times New Roman"/>
                <w:lang w:eastAsia="zh-CN"/>
              </w:rPr>
              <w:t>～</w:t>
            </w:r>
            <w:r>
              <w:rPr>
                <w:rFonts w:ascii="Times New Roman" w:hAnsi="Times New Roman" w:eastAsia="仿宋" w:cs="Times New Roman"/>
                <w:lang w:eastAsia="zh-CN"/>
              </w:rPr>
              <w:t>9</w:t>
            </w:r>
            <w:r>
              <w:rPr>
                <w:rFonts w:hint="eastAsia" w:ascii="仿宋" w:hAnsi="仿宋" w:eastAsia="仿宋" w:cs="Times New Roman"/>
                <w:lang w:eastAsia="zh-CN"/>
              </w:rPr>
              <w:t>:</w:t>
            </w:r>
            <w:r>
              <w:rPr>
                <w:rFonts w:ascii="Times New Roman" w:hAnsi="Times New Roman" w:eastAsia="仿宋" w:cs="Times New Roman"/>
                <w:lang w:eastAsia="zh-CN"/>
              </w:rPr>
              <w:t>00</w:t>
            </w:r>
          </w:p>
        </w:tc>
        <w:tc>
          <w:tcPr>
            <w:tcW w:w="4420" w:type="dxa"/>
            <w:vAlign w:val="center"/>
          </w:tcPr>
          <w:p w14:paraId="33978966">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报到、检录、加密</w:t>
            </w:r>
          </w:p>
        </w:tc>
      </w:tr>
      <w:tr w14:paraId="38F6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478" w:type="dxa"/>
            <w:vMerge w:val="continue"/>
            <w:vAlign w:val="center"/>
          </w:tcPr>
          <w:p w14:paraId="2CFD9413">
            <w:pPr>
              <w:pStyle w:val="26"/>
              <w:spacing w:line="360" w:lineRule="exact"/>
              <w:ind w:left="102"/>
              <w:rPr>
                <w:rFonts w:hint="eastAsia" w:ascii="仿宋" w:hAnsi="仿宋" w:eastAsia="仿宋" w:cs="Times New Roman"/>
                <w:lang w:eastAsia="zh-CN"/>
              </w:rPr>
            </w:pPr>
          </w:p>
        </w:tc>
        <w:tc>
          <w:tcPr>
            <w:tcW w:w="2671" w:type="dxa"/>
            <w:vAlign w:val="center"/>
          </w:tcPr>
          <w:p w14:paraId="17266117">
            <w:pPr>
              <w:pStyle w:val="26"/>
              <w:spacing w:line="360" w:lineRule="exact"/>
              <w:ind w:left="102"/>
              <w:rPr>
                <w:rFonts w:hint="eastAsia" w:ascii="仿宋" w:hAnsi="仿宋" w:eastAsia="仿宋" w:cs="Times New Roman"/>
                <w:lang w:eastAsia="zh-CN"/>
              </w:rPr>
            </w:pPr>
            <w:r>
              <w:rPr>
                <w:rFonts w:ascii="Times New Roman" w:hAnsi="Times New Roman" w:eastAsia="仿宋" w:cs="Times New Roman"/>
                <w:lang w:eastAsia="zh-CN"/>
              </w:rPr>
              <w:t>09</w:t>
            </w:r>
            <w:r>
              <w:rPr>
                <w:rFonts w:hint="eastAsia" w:ascii="仿宋" w:hAnsi="仿宋" w:eastAsia="仿宋" w:cs="Times New Roman"/>
                <w:lang w:eastAsia="zh-CN"/>
              </w:rPr>
              <w:t>:</w:t>
            </w:r>
            <w:r>
              <w:rPr>
                <w:rFonts w:ascii="Times New Roman" w:hAnsi="Times New Roman" w:eastAsia="仿宋" w:cs="Times New Roman"/>
                <w:lang w:eastAsia="zh-CN"/>
              </w:rPr>
              <w:t>00</w:t>
            </w:r>
            <w:r>
              <w:rPr>
                <w:rFonts w:hint="eastAsia" w:ascii="仿宋" w:hAnsi="仿宋" w:eastAsia="仿宋" w:cs="Times New Roman"/>
                <w:lang w:eastAsia="zh-CN"/>
              </w:rPr>
              <w:t>～</w:t>
            </w:r>
            <w:r>
              <w:rPr>
                <w:rFonts w:ascii="Times New Roman" w:hAnsi="Times New Roman" w:eastAsia="仿宋" w:cs="Times New Roman"/>
                <w:lang w:eastAsia="zh-CN"/>
              </w:rPr>
              <w:t>10</w:t>
            </w:r>
            <w:r>
              <w:rPr>
                <w:rFonts w:hint="eastAsia" w:ascii="仿宋" w:hAnsi="仿宋" w:eastAsia="仿宋" w:cs="Times New Roman"/>
                <w:lang w:eastAsia="zh-CN"/>
              </w:rPr>
              <w:t>:</w:t>
            </w:r>
            <w:r>
              <w:rPr>
                <w:rFonts w:hint="eastAsia" w:ascii="Times New Roman" w:hAnsi="Times New Roman" w:eastAsia="仿宋" w:cs="Times New Roman"/>
                <w:lang w:val="en-US" w:eastAsia="zh-CN"/>
              </w:rPr>
              <w:t>3</w:t>
            </w:r>
            <w:r>
              <w:rPr>
                <w:rFonts w:ascii="Times New Roman" w:hAnsi="Times New Roman" w:eastAsia="仿宋" w:cs="Times New Roman"/>
                <w:lang w:eastAsia="zh-CN"/>
              </w:rPr>
              <w:t>0</w:t>
            </w:r>
          </w:p>
        </w:tc>
        <w:tc>
          <w:tcPr>
            <w:tcW w:w="4420" w:type="dxa"/>
            <w:vAlign w:val="center"/>
          </w:tcPr>
          <w:p w14:paraId="36676E12">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互联网营销职业技能测评</w:t>
            </w:r>
          </w:p>
        </w:tc>
      </w:tr>
      <w:tr w14:paraId="127A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478" w:type="dxa"/>
            <w:vMerge w:val="continue"/>
            <w:vAlign w:val="center"/>
          </w:tcPr>
          <w:p w14:paraId="37209591">
            <w:pPr>
              <w:pStyle w:val="26"/>
              <w:spacing w:line="360" w:lineRule="exact"/>
              <w:ind w:left="102"/>
              <w:rPr>
                <w:rFonts w:hint="eastAsia" w:ascii="仿宋" w:hAnsi="仿宋" w:eastAsia="仿宋" w:cs="Times New Roman"/>
                <w:lang w:eastAsia="zh-CN"/>
              </w:rPr>
            </w:pPr>
          </w:p>
        </w:tc>
        <w:tc>
          <w:tcPr>
            <w:tcW w:w="2671" w:type="dxa"/>
            <w:vAlign w:val="center"/>
          </w:tcPr>
          <w:p w14:paraId="7816B43D">
            <w:pPr>
              <w:pStyle w:val="26"/>
              <w:spacing w:line="360" w:lineRule="exact"/>
              <w:ind w:left="102"/>
              <w:rPr>
                <w:rFonts w:hint="eastAsia" w:ascii="仿宋" w:hAnsi="仿宋" w:eastAsia="仿宋" w:cs="Times New Roman"/>
                <w:lang w:eastAsia="zh-CN"/>
              </w:rPr>
            </w:pPr>
            <w:r>
              <w:rPr>
                <w:rFonts w:ascii="Times New Roman" w:hAnsi="Times New Roman" w:eastAsia="仿宋" w:cs="Times New Roman"/>
                <w:lang w:eastAsia="zh-CN"/>
              </w:rPr>
              <w:t>10</w:t>
            </w:r>
            <w:r>
              <w:rPr>
                <w:rFonts w:hint="eastAsia" w:ascii="仿宋" w:hAnsi="仿宋" w:eastAsia="仿宋" w:cs="Times New Roman"/>
                <w:lang w:eastAsia="zh-CN"/>
              </w:rPr>
              <w:t>:</w:t>
            </w:r>
            <w:r>
              <w:rPr>
                <w:rFonts w:hint="eastAsia" w:ascii="Times New Roman" w:hAnsi="Times New Roman" w:eastAsia="仿宋" w:cs="Times New Roman"/>
                <w:lang w:val="en-US" w:eastAsia="zh-CN"/>
              </w:rPr>
              <w:t>3</w:t>
            </w:r>
            <w:r>
              <w:rPr>
                <w:rFonts w:ascii="Times New Roman" w:hAnsi="Times New Roman" w:eastAsia="仿宋" w:cs="Times New Roman"/>
                <w:lang w:eastAsia="zh-CN"/>
              </w:rPr>
              <w:t>0</w:t>
            </w:r>
            <w:r>
              <w:rPr>
                <w:rFonts w:hint="eastAsia" w:ascii="仿宋" w:hAnsi="仿宋" w:eastAsia="仿宋" w:cs="Times New Roman"/>
                <w:lang w:eastAsia="zh-CN"/>
              </w:rPr>
              <w:t>～</w:t>
            </w:r>
            <w:r>
              <w:rPr>
                <w:rFonts w:ascii="Times New Roman" w:hAnsi="Times New Roman" w:eastAsia="仿宋" w:cs="Times New Roman"/>
                <w:lang w:eastAsia="zh-CN"/>
              </w:rPr>
              <w:t>12</w:t>
            </w:r>
            <w:r>
              <w:rPr>
                <w:rFonts w:hint="eastAsia" w:ascii="仿宋" w:hAnsi="仿宋" w:eastAsia="仿宋" w:cs="Times New Roman"/>
                <w:lang w:eastAsia="zh-CN"/>
              </w:rPr>
              <w:t>:</w:t>
            </w:r>
            <w:r>
              <w:rPr>
                <w:rFonts w:hint="eastAsia" w:ascii="Times New Roman" w:hAnsi="Times New Roman" w:eastAsia="仿宋" w:cs="Times New Roman"/>
                <w:lang w:val="en-US" w:eastAsia="zh-CN"/>
              </w:rPr>
              <w:t>3</w:t>
            </w:r>
            <w:r>
              <w:rPr>
                <w:rFonts w:ascii="Times New Roman" w:hAnsi="Times New Roman" w:eastAsia="仿宋" w:cs="Times New Roman"/>
                <w:lang w:eastAsia="zh-CN"/>
              </w:rPr>
              <w:t>0</w:t>
            </w:r>
          </w:p>
        </w:tc>
        <w:tc>
          <w:tcPr>
            <w:tcW w:w="4420" w:type="dxa"/>
            <w:vAlign w:val="center"/>
          </w:tcPr>
          <w:p w14:paraId="1A0D7CD3">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直播营销策划实施</w:t>
            </w:r>
          </w:p>
        </w:tc>
      </w:tr>
    </w:tbl>
    <w:p w14:paraId="7A632752">
      <w:pPr>
        <w:spacing w:line="560" w:lineRule="exact"/>
        <w:ind w:firstLine="640" w:firstLineChars="200"/>
        <w:outlineLvl w:val="1"/>
        <w:rPr>
          <w:rFonts w:hint="eastAsia" w:ascii="楷体_GB2312" w:hAnsi="楷体_GB2312" w:eastAsia="楷体_GB2312" w:cs="楷体_GB2312"/>
          <w:bCs/>
          <w:sz w:val="32"/>
          <w:szCs w:val="32"/>
        </w:rPr>
      </w:pPr>
      <w:bookmarkStart w:id="85" w:name="_Toc28840"/>
      <w:bookmarkStart w:id="86" w:name="_Toc141450655"/>
    </w:p>
    <w:p w14:paraId="3282EF8C">
      <w:pPr>
        <w:spacing w:line="560" w:lineRule="exact"/>
        <w:ind w:firstLine="640" w:firstLineChars="200"/>
        <w:outlineLvl w:val="1"/>
        <w:rPr>
          <w:rFonts w:hint="eastAsia" w:ascii="楷体_GB2312" w:hAnsi="楷体_GB2312" w:eastAsia="楷体_GB2312" w:cs="楷体_GB2312"/>
          <w:bCs/>
          <w:sz w:val="32"/>
          <w:szCs w:val="32"/>
        </w:rPr>
      </w:pPr>
      <w:bookmarkStart w:id="87" w:name="_Toc30002"/>
      <w:bookmarkStart w:id="88" w:name="_Toc9480"/>
      <w:bookmarkStart w:id="89" w:name="_Toc8435"/>
      <w:bookmarkStart w:id="90" w:name="_Toc5191"/>
      <w:bookmarkStart w:id="91" w:name="_Toc22615"/>
      <w:r>
        <w:rPr>
          <w:rFonts w:hint="eastAsia" w:ascii="楷体_GB2312" w:hAnsi="楷体_GB2312" w:eastAsia="楷体_GB2312" w:cs="楷体_GB2312"/>
          <w:bCs/>
          <w:sz w:val="32"/>
          <w:szCs w:val="32"/>
        </w:rPr>
        <w:t>（二）工作要求</w:t>
      </w:r>
      <w:bookmarkEnd w:id="85"/>
      <w:bookmarkEnd w:id="86"/>
      <w:bookmarkEnd w:id="87"/>
      <w:bookmarkEnd w:id="88"/>
      <w:bookmarkEnd w:id="89"/>
      <w:bookmarkEnd w:id="90"/>
      <w:bookmarkEnd w:id="91"/>
    </w:p>
    <w:p w14:paraId="642CAB98">
      <w:pPr>
        <w:spacing w:line="560" w:lineRule="exact"/>
        <w:ind w:firstLine="643" w:firstLineChars="200"/>
        <w:rPr>
          <w:rFonts w:hint="eastAsia" w:ascii="仿宋" w:hAnsi="仿宋" w:eastAsia="仿宋" w:cs="仿宋"/>
          <w:b/>
          <w:bCs/>
          <w:sz w:val="32"/>
          <w:szCs w:val="32"/>
        </w:rPr>
      </w:pPr>
      <w:bookmarkStart w:id="92" w:name="_Toc141450656"/>
      <w:bookmarkStart w:id="93" w:name="_Toc27880"/>
      <w:r>
        <w:rPr>
          <w:rFonts w:ascii="Times New Roman" w:hAnsi="Times New Roman" w:eastAsia="仿宋"/>
          <w:b/>
          <w:bCs/>
          <w:sz w:val="32"/>
          <w:szCs w:val="32"/>
        </w:rPr>
        <w:t>1</w:t>
      </w:r>
      <w:r>
        <w:rPr>
          <w:rFonts w:hint="eastAsia" w:ascii="仿宋" w:hAnsi="仿宋" w:eastAsia="仿宋" w:cs="仿宋"/>
          <w:b/>
          <w:bCs/>
          <w:sz w:val="32"/>
          <w:szCs w:val="32"/>
        </w:rPr>
        <w:t>.赛前</w:t>
      </w:r>
      <w:bookmarkEnd w:id="92"/>
      <w:bookmarkEnd w:id="93"/>
    </w:p>
    <w:p w14:paraId="20BFC8F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1</w:t>
      </w:r>
      <w:r>
        <w:rPr>
          <w:rFonts w:hint="eastAsia" w:ascii="仿宋_GB2312" w:hAnsi="仿宋_GB2312" w:eastAsia="仿宋_GB2312" w:cs="仿宋_GB2312"/>
          <w:sz w:val="32"/>
          <w:szCs w:val="32"/>
        </w:rPr>
        <w:t>）赛场设备确认</w:t>
      </w:r>
    </w:p>
    <w:p w14:paraId="788DE1B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根据实际需要，专家组长（裁判长）于赛前对场地设备设施等准备工作进行检查确认。</w:t>
      </w:r>
    </w:p>
    <w:p w14:paraId="7619A4A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2</w:t>
      </w:r>
      <w:r>
        <w:rPr>
          <w:rFonts w:hint="eastAsia" w:ascii="仿宋_GB2312" w:hAnsi="仿宋_GB2312" w:eastAsia="仿宋_GB2312" w:cs="仿宋_GB2312"/>
          <w:sz w:val="32"/>
          <w:szCs w:val="32"/>
        </w:rPr>
        <w:t>）赛前培训</w:t>
      </w:r>
    </w:p>
    <w:p w14:paraId="50CDFC0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专家组长（裁判长）对裁判员于赛前进行集中培训、技术对接和设备设施、材料、必备工具确认。按照组委会统一的安排对参赛选手进行赛前培训。</w:t>
      </w:r>
    </w:p>
    <w:p w14:paraId="63AAEC0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3</w:t>
      </w:r>
      <w:r>
        <w:rPr>
          <w:rFonts w:hint="eastAsia" w:ascii="仿宋_GB2312" w:hAnsi="仿宋_GB2312" w:eastAsia="仿宋_GB2312" w:cs="仿宋_GB2312"/>
          <w:sz w:val="32"/>
          <w:szCs w:val="32"/>
        </w:rPr>
        <w:t>）检录</w:t>
      </w:r>
    </w:p>
    <w:p w14:paraId="2F2EA36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竞赛当日由检录工作人员依照检录表进行点名核对，并检查确定无误后向专家组组长（裁判长）递交检录单。</w:t>
      </w:r>
    </w:p>
    <w:p w14:paraId="2B3EDFB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4</w:t>
      </w:r>
      <w:r>
        <w:rPr>
          <w:rFonts w:hint="eastAsia" w:ascii="仿宋_GB2312" w:hAnsi="仿宋_GB2312" w:eastAsia="仿宋_GB2312" w:cs="仿宋_GB2312"/>
          <w:sz w:val="32"/>
          <w:szCs w:val="32"/>
        </w:rPr>
        <w:t>）抽签加密</w:t>
      </w:r>
    </w:p>
    <w:p w14:paraId="26182AC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竞赛当日进行两次加密，加密后参赛选手中途不得擅自离开赛场。分别由两组场地工作人员组织实施加密工作，管理加密结果。专家组组长（裁判长）全程监督加密过程。</w:t>
      </w:r>
    </w:p>
    <w:p w14:paraId="082E8F0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第一组场地工作人员，组织参赛选手进行第一次抽签，产生参赛编号，替换选手参赛证等个人身份信息，填写一次加密记录表后，连同选手参赛证等个人身份信息证件，当即装入一次加密结果密封袋中单独保管。</w:t>
      </w:r>
    </w:p>
    <w:p w14:paraId="7D30EA5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第二组场地工作人员，组织参赛选手进行第二次抽签，确定赛位号，替换选手参赛编号，填写二次加密记录表后，连同选手参赛编号，当即装入二次加密结果密封袋中单独保管。</w:t>
      </w:r>
    </w:p>
    <w:p w14:paraId="589BB2D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所有加密结果密封袋的封条均需相应的场地工作人员和专家组组长（裁判长）签字。</w:t>
      </w:r>
    </w:p>
    <w:p w14:paraId="6828159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5</w:t>
      </w:r>
      <w:r>
        <w:rPr>
          <w:rFonts w:hint="eastAsia" w:ascii="仿宋_GB2312" w:hAnsi="仿宋_GB2312" w:eastAsia="仿宋_GB2312" w:cs="仿宋_GB2312"/>
          <w:sz w:val="32"/>
          <w:szCs w:val="32"/>
        </w:rPr>
        <w:t>）入场</w:t>
      </w:r>
    </w:p>
    <w:p w14:paraId="64D1A3B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每位选手按照参赛编号到指定位置，等待比赛。</w:t>
      </w:r>
    </w:p>
    <w:p w14:paraId="5981829C">
      <w:pPr>
        <w:spacing w:line="560" w:lineRule="exact"/>
        <w:ind w:firstLine="643" w:firstLineChars="200"/>
        <w:rPr>
          <w:rFonts w:hint="eastAsia" w:ascii="仿宋_GB2312" w:hAnsi="仿宋_GB2312" w:eastAsia="仿宋_GB2312" w:cs="仿宋_GB2312"/>
          <w:b/>
          <w:bCs/>
          <w:sz w:val="32"/>
          <w:szCs w:val="32"/>
        </w:rPr>
      </w:pPr>
      <w:bookmarkStart w:id="94" w:name="_Toc141450657"/>
      <w:bookmarkStart w:id="95" w:name="_Toc11033"/>
      <w:r>
        <w:rPr>
          <w:rFonts w:ascii="Times New Roman" w:hAnsi="Times New Roman" w:eastAsia="仿宋_GB2312"/>
          <w:b/>
          <w:bCs/>
          <w:sz w:val="32"/>
          <w:szCs w:val="32"/>
        </w:rPr>
        <w:t>2</w:t>
      </w:r>
      <w:r>
        <w:rPr>
          <w:rFonts w:hint="eastAsia" w:ascii="仿宋_GB2312" w:hAnsi="仿宋_GB2312" w:eastAsia="仿宋_GB2312" w:cs="仿宋_GB2312"/>
          <w:b/>
          <w:bCs/>
          <w:sz w:val="32"/>
          <w:szCs w:val="32"/>
        </w:rPr>
        <w:t>.赛中</w:t>
      </w:r>
      <w:bookmarkEnd w:id="94"/>
      <w:bookmarkEnd w:id="95"/>
    </w:p>
    <w:p w14:paraId="587C752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1</w:t>
      </w:r>
      <w:r>
        <w:rPr>
          <w:rFonts w:hint="eastAsia" w:ascii="仿宋_GB2312" w:hAnsi="仿宋_GB2312" w:eastAsia="仿宋_GB2312" w:cs="仿宋_GB2312"/>
          <w:sz w:val="32"/>
          <w:szCs w:val="32"/>
        </w:rPr>
        <w:t>）比赛</w:t>
      </w:r>
    </w:p>
    <w:p w14:paraId="39A87619">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由专家组长（裁判长）统一告知选手比赛规则、时间和流程，宣布比赛正式开始并计时。</w:t>
      </w:r>
    </w:p>
    <w:p w14:paraId="0EC777C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2</w:t>
      </w:r>
      <w:r>
        <w:rPr>
          <w:rFonts w:hint="eastAsia" w:ascii="仿宋_GB2312" w:hAnsi="仿宋_GB2312" w:eastAsia="仿宋_GB2312" w:cs="仿宋_GB2312"/>
          <w:sz w:val="32"/>
          <w:szCs w:val="32"/>
        </w:rPr>
        <w:t>）纪律要求</w:t>
      </w:r>
    </w:p>
    <w:p w14:paraId="1549ABF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竞赛过程中严禁交头接耳，直播展示过程中不得干扰其他参赛选手，严禁扰乱秩序。</w:t>
      </w:r>
    </w:p>
    <w:p w14:paraId="4657B4F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3</w:t>
      </w:r>
      <w:r>
        <w:rPr>
          <w:rFonts w:hint="eastAsia" w:ascii="仿宋_GB2312" w:hAnsi="仿宋_GB2312" w:eastAsia="仿宋_GB2312" w:cs="仿宋_GB2312"/>
          <w:sz w:val="32"/>
          <w:szCs w:val="32"/>
        </w:rPr>
        <w:t>）评分</w:t>
      </w:r>
    </w:p>
    <w:p w14:paraId="2DC6607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由评分裁判独立进行打分。</w:t>
      </w:r>
    </w:p>
    <w:p w14:paraId="2E6E9A6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4</w:t>
      </w:r>
      <w:r>
        <w:rPr>
          <w:rFonts w:hint="eastAsia" w:ascii="仿宋_GB2312" w:hAnsi="仿宋_GB2312" w:eastAsia="仿宋_GB2312" w:cs="仿宋_GB2312"/>
          <w:sz w:val="32"/>
          <w:szCs w:val="32"/>
        </w:rPr>
        <w:t>）汇总与公示</w:t>
      </w:r>
    </w:p>
    <w:p w14:paraId="64273D7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由专家组长（裁判长）负责汇总成绩。</w:t>
      </w:r>
    </w:p>
    <w:p w14:paraId="506DA6FE">
      <w:pPr>
        <w:spacing w:line="560" w:lineRule="exact"/>
        <w:ind w:firstLine="643" w:firstLineChars="200"/>
        <w:rPr>
          <w:rFonts w:hint="eastAsia" w:ascii="仿宋_GB2312" w:hAnsi="仿宋_GB2312" w:eastAsia="仿宋_GB2312" w:cs="仿宋_GB2312"/>
          <w:b/>
          <w:bCs/>
          <w:sz w:val="32"/>
          <w:szCs w:val="32"/>
        </w:rPr>
      </w:pPr>
      <w:bookmarkStart w:id="96" w:name="_Toc17446"/>
      <w:bookmarkStart w:id="97" w:name="_Toc141450658"/>
      <w:r>
        <w:rPr>
          <w:rFonts w:ascii="Times New Roman" w:hAnsi="Times New Roman" w:eastAsia="仿宋_GB2312"/>
          <w:b/>
          <w:bCs/>
          <w:sz w:val="32"/>
          <w:szCs w:val="32"/>
        </w:rPr>
        <w:t>3</w:t>
      </w:r>
      <w:r>
        <w:rPr>
          <w:rFonts w:hint="eastAsia" w:ascii="仿宋_GB2312" w:hAnsi="仿宋_GB2312" w:eastAsia="仿宋_GB2312" w:cs="仿宋_GB2312"/>
          <w:b/>
          <w:bCs/>
          <w:sz w:val="32"/>
          <w:szCs w:val="32"/>
        </w:rPr>
        <w:t>.违规情形</w:t>
      </w:r>
      <w:bookmarkEnd w:id="96"/>
      <w:bookmarkEnd w:id="97"/>
    </w:p>
    <w:p w14:paraId="19AC30E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1</w:t>
      </w:r>
      <w:r>
        <w:rPr>
          <w:rFonts w:hint="eastAsia" w:ascii="仿宋_GB2312" w:hAnsi="仿宋_GB2312" w:eastAsia="仿宋_GB2312" w:cs="仿宋_GB2312"/>
          <w:sz w:val="32"/>
          <w:szCs w:val="32"/>
        </w:rPr>
        <w:t>）选手不得穿戴、携带有显示个人信息的衣物等；</w:t>
      </w:r>
    </w:p>
    <w:p w14:paraId="7DDD8E9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2</w:t>
      </w:r>
      <w:r>
        <w:rPr>
          <w:rFonts w:hint="eastAsia" w:ascii="仿宋_GB2312" w:hAnsi="仿宋_GB2312" w:eastAsia="仿宋_GB2312" w:cs="仿宋_GB2312"/>
          <w:sz w:val="32"/>
          <w:szCs w:val="32"/>
        </w:rPr>
        <w:t>）直播时出现侮辱、暴力、低俗、荒诞等不良行为，直播展示模块判</w:t>
      </w:r>
      <w:r>
        <w:rPr>
          <w:rFonts w:ascii="Times New Roman" w:hAnsi="Times New Roman" w:eastAsia="仿宋_GB2312"/>
          <w:sz w:val="32"/>
          <w:szCs w:val="32"/>
        </w:rPr>
        <w:t>0</w:t>
      </w:r>
      <w:r>
        <w:rPr>
          <w:rFonts w:hint="eastAsia" w:ascii="仿宋_GB2312" w:hAnsi="仿宋_GB2312" w:eastAsia="仿宋_GB2312" w:cs="仿宋_GB2312"/>
          <w:sz w:val="32"/>
          <w:szCs w:val="32"/>
        </w:rPr>
        <w:t>分；</w:t>
      </w:r>
    </w:p>
    <w:p w14:paraId="37B54F2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3</w:t>
      </w:r>
      <w:r>
        <w:rPr>
          <w:rFonts w:hint="eastAsia" w:ascii="仿宋_GB2312" w:hAnsi="仿宋_GB2312" w:eastAsia="仿宋_GB2312" w:cs="仿宋_GB2312"/>
          <w:sz w:val="32"/>
          <w:szCs w:val="32"/>
        </w:rPr>
        <w:t>）在比赛操作过程中，出现任何透露个人信息的行为，该选手所做模块判定为</w:t>
      </w:r>
      <w:r>
        <w:rPr>
          <w:rFonts w:ascii="Times New Roman" w:hAnsi="Times New Roman" w:eastAsia="仿宋_GB2312"/>
          <w:sz w:val="32"/>
          <w:szCs w:val="32"/>
        </w:rPr>
        <w:t>0</w:t>
      </w:r>
      <w:r>
        <w:rPr>
          <w:rFonts w:hint="eastAsia" w:ascii="仿宋_GB2312" w:hAnsi="仿宋_GB2312" w:eastAsia="仿宋_GB2312" w:cs="仿宋_GB2312"/>
          <w:sz w:val="32"/>
          <w:szCs w:val="32"/>
        </w:rPr>
        <w:t>分。</w:t>
      </w:r>
    </w:p>
    <w:p w14:paraId="45BA1415">
      <w:pPr>
        <w:pStyle w:val="2"/>
        <w:spacing w:before="0" w:after="0" w:line="560" w:lineRule="exact"/>
        <w:ind w:firstLine="640" w:firstLineChars="200"/>
        <w:rPr>
          <w:rFonts w:hint="eastAsia" w:ascii="楷体_GB2312" w:hAnsi="楷体_GB2312" w:eastAsia="楷体_GB2312" w:cs="楷体_GB2312"/>
          <w:b w:val="0"/>
          <w:bCs w:val="0"/>
        </w:rPr>
      </w:pPr>
      <w:bookmarkStart w:id="98" w:name="_Toc144198128"/>
      <w:bookmarkStart w:id="99" w:name="_Toc14219"/>
      <w:bookmarkStart w:id="100" w:name="_Toc20079"/>
      <w:r>
        <w:rPr>
          <w:rFonts w:hint="eastAsia" w:ascii="楷体_GB2312" w:hAnsi="楷体_GB2312" w:eastAsia="楷体_GB2312" w:cs="楷体_GB2312"/>
          <w:b w:val="0"/>
          <w:bCs w:val="0"/>
        </w:rPr>
        <w:t>（三）技术与赛务保障工作</w:t>
      </w:r>
      <w:bookmarkEnd w:id="98"/>
      <w:bookmarkEnd w:id="99"/>
      <w:bookmarkEnd w:id="100"/>
    </w:p>
    <w:p w14:paraId="4435EC5B">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技术与赛务保障工作由场地经理及助理、其他技术与赛务保障人员共同完成。</w:t>
      </w:r>
    </w:p>
    <w:p w14:paraId="5262E5D7">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1</w:t>
      </w:r>
      <w:r>
        <w:rPr>
          <w:rFonts w:hint="eastAsia" w:ascii="仿宋_GB2312" w:hAnsi="仿宋_GB2312" w:eastAsia="仿宋_GB2312" w:cs="仿宋_GB2312"/>
          <w:sz w:val="32"/>
          <w:szCs w:val="32"/>
        </w:rPr>
        <w:t>.场地经理及助理</w:t>
      </w:r>
    </w:p>
    <w:p w14:paraId="4403AEC4">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场地经理负责组织相关工作人员做好竞赛设施设备、工具、材料落实及场地布置，参与赛务管理手册编制，配合裁判长做好技术工作文件编制、赛前准备和现场技术支持与后勤保障等工作。场地经理助理根据场地经理工作安排，负责协助场地经理开展相关工作。场地经理和助理在竞赛期间应全程在竞赛区域值守，本着廉洁、诚信的原则履行职责，确保大赛公平公正。</w:t>
      </w:r>
    </w:p>
    <w:p w14:paraId="693C88E1">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2</w:t>
      </w:r>
      <w:r>
        <w:rPr>
          <w:rFonts w:hint="eastAsia" w:ascii="仿宋_GB2312" w:hAnsi="仿宋_GB2312" w:eastAsia="仿宋_GB2312" w:cs="仿宋_GB2312"/>
          <w:sz w:val="32"/>
          <w:szCs w:val="32"/>
        </w:rPr>
        <w:t>.其他技术与赛务保障人员</w:t>
      </w:r>
    </w:p>
    <w:p w14:paraId="6AC615DA">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其他技术与赛务保障人员包括由执委会为各项目配备的竞赛联络员、技术负责人、录分员及赛务保障人员。具体职责是按照竞赛技术规则规定和大赛统一要求，在执委会相关部门领导下做好相应的竞赛保障工作。</w:t>
      </w:r>
    </w:p>
    <w:p w14:paraId="5BED9B24">
      <w:pPr>
        <w:tabs>
          <w:tab w:val="right" w:leader="dot" w:pos="8319"/>
        </w:tabs>
        <w:spacing w:before="38" w:line="560" w:lineRule="exact"/>
        <w:ind w:left="45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1</w:t>
      </w:r>
      <w:r>
        <w:rPr>
          <w:rFonts w:hint="eastAsia" w:ascii="仿宋_GB2312" w:hAnsi="仿宋_GB2312" w:eastAsia="仿宋_GB2312" w:cs="仿宋_GB2312"/>
          <w:sz w:val="32"/>
          <w:szCs w:val="32"/>
        </w:rPr>
        <w:t>）赛务组</w:t>
      </w:r>
    </w:p>
    <w:p w14:paraId="170E49ED">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负责有关赛务工作安排。主要包括负责选手抽签、竞赛场次轮转安排等工作。</w:t>
      </w:r>
    </w:p>
    <w:p w14:paraId="69CA62FA">
      <w:pPr>
        <w:tabs>
          <w:tab w:val="right" w:leader="dot" w:pos="8319"/>
        </w:tabs>
        <w:spacing w:before="38" w:line="560" w:lineRule="exact"/>
        <w:ind w:left="45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2</w:t>
      </w:r>
      <w:r>
        <w:rPr>
          <w:rFonts w:hint="eastAsia" w:ascii="仿宋_GB2312" w:hAnsi="仿宋_GB2312" w:eastAsia="仿宋_GB2312" w:cs="仿宋_GB2312"/>
          <w:sz w:val="32"/>
          <w:szCs w:val="32"/>
        </w:rPr>
        <w:t>）监考组</w:t>
      </w:r>
    </w:p>
    <w:p w14:paraId="7562D76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负责竞赛现场的检录、监考工作。主要包括：核对选手证件、维护赛场纪律、控制竞赛时间、记录赛场情况、做好监考</w:t>
      </w:r>
      <w:r>
        <w:rPr>
          <w:rFonts w:hint="eastAsia" w:ascii="仿宋_GB2312" w:hAnsi="仿宋_GB2312" w:eastAsia="仿宋_GB2312" w:cs="仿宋_GB2312"/>
          <w:sz w:val="32"/>
          <w:szCs w:val="32"/>
          <w:lang w:val="en-US" w:eastAsia="zh-CN"/>
        </w:rPr>
        <w:t>记</w:t>
      </w:r>
      <w:r>
        <w:rPr>
          <w:rFonts w:hint="eastAsia" w:ascii="仿宋_GB2312" w:hAnsi="仿宋_GB2312" w:eastAsia="仿宋_GB2312" w:cs="仿宋_GB2312"/>
          <w:sz w:val="32"/>
          <w:szCs w:val="32"/>
        </w:rPr>
        <w:t xml:space="preserve">录、纠正选手违规行为，并对情节严重者及时向裁判长报告，参与竞赛的抽签工作。 </w:t>
      </w:r>
    </w:p>
    <w:p w14:paraId="18932D9B">
      <w:pPr>
        <w:pStyle w:val="2"/>
        <w:spacing w:before="0" w:after="0" w:line="560" w:lineRule="exact"/>
        <w:ind w:firstLine="640" w:firstLineChars="200"/>
        <w:rPr>
          <w:rFonts w:hint="eastAsia" w:ascii="楷体_GB2312" w:hAnsi="楷体_GB2312" w:eastAsia="楷体_GB2312" w:cs="楷体_GB2312"/>
          <w:b w:val="0"/>
          <w:bCs w:val="0"/>
        </w:rPr>
      </w:pPr>
      <w:bookmarkStart w:id="101" w:name="_Toc1568"/>
      <w:bookmarkStart w:id="102" w:name="_Toc18166"/>
      <w:bookmarkStart w:id="103" w:name="_Toc144198129"/>
      <w:bookmarkStart w:id="104" w:name="_Toc19824"/>
      <w:bookmarkStart w:id="105" w:name="_Toc23083"/>
      <w:bookmarkStart w:id="106" w:name="_Toc18870"/>
      <w:r>
        <w:rPr>
          <w:rFonts w:hint="eastAsia" w:ascii="楷体_GB2312" w:hAnsi="楷体_GB2312" w:eastAsia="楷体_GB2312" w:cs="楷体_GB2312"/>
          <w:b w:val="0"/>
          <w:bCs w:val="0"/>
        </w:rPr>
        <w:t>（四）评判工作</w:t>
      </w:r>
      <w:bookmarkEnd w:id="101"/>
      <w:bookmarkEnd w:id="102"/>
      <w:bookmarkEnd w:id="103"/>
      <w:bookmarkEnd w:id="104"/>
      <w:bookmarkEnd w:id="105"/>
      <w:bookmarkEnd w:id="106"/>
    </w:p>
    <w:p w14:paraId="61494FED">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裁判长不参与具体评判。竞赛开始前，裁判长根据裁判员数量、工作需要、裁判员技术能力特长等情况，对裁判员进行工作分工。竞赛过程中，裁判员按照分工，依据评判标准和相关技术要求开展评判工作。</w:t>
      </w:r>
    </w:p>
    <w:p w14:paraId="548C0EEA">
      <w:pPr>
        <w:tabs>
          <w:tab w:val="right" w:leader="dot" w:pos="8319"/>
        </w:tabs>
        <w:spacing w:before="37" w:line="560" w:lineRule="exact"/>
        <w:ind w:left="454" w:firstLine="320" w:firstLineChars="100"/>
        <w:rPr>
          <w:rFonts w:hint="eastAsia" w:ascii="仿宋_GB2312" w:hAnsi="仿宋_GB2312" w:eastAsia="仿宋_GB2312" w:cs="仿宋_GB2312"/>
          <w:sz w:val="32"/>
          <w:szCs w:val="32"/>
        </w:rPr>
      </w:pPr>
      <w:r>
        <w:rPr>
          <w:rFonts w:ascii="Times New Roman" w:hAnsi="Times New Roman" w:eastAsia="仿宋_GB2312"/>
          <w:sz w:val="32"/>
          <w:szCs w:val="32"/>
        </w:rPr>
        <w:t>1</w:t>
      </w:r>
      <w:r>
        <w:rPr>
          <w:rFonts w:hint="eastAsia" w:ascii="仿宋_GB2312" w:hAnsi="仿宋_GB2312" w:eastAsia="仿宋_GB2312" w:cs="仿宋_GB2312"/>
          <w:sz w:val="32"/>
          <w:szCs w:val="32"/>
        </w:rPr>
        <w:t>.裁判长职责</w:t>
      </w:r>
    </w:p>
    <w:p w14:paraId="1C24FC5B">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1</w:t>
      </w:r>
      <w:r>
        <w:rPr>
          <w:rFonts w:hint="eastAsia" w:ascii="仿宋_GB2312" w:hAnsi="仿宋_GB2312" w:eastAsia="仿宋_GB2312" w:cs="仿宋_GB2312"/>
          <w:sz w:val="32"/>
          <w:szCs w:val="32"/>
        </w:rPr>
        <w:t>）在组委会领导下，秉承公平公正原则接受执委会具体管理；</w:t>
      </w:r>
    </w:p>
    <w:p w14:paraId="51F1DE43">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2</w:t>
      </w:r>
      <w:r>
        <w:rPr>
          <w:rFonts w:hint="eastAsia" w:ascii="仿宋_GB2312" w:hAnsi="仿宋_GB2312" w:eastAsia="仿宋_GB2312" w:cs="仿宋_GB2312"/>
          <w:sz w:val="32"/>
          <w:szCs w:val="32"/>
        </w:rPr>
        <w:t>）做好相应沟通协调，落实竞赛各项技术工作；</w:t>
      </w:r>
    </w:p>
    <w:p w14:paraId="46E89AD0">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3</w:t>
      </w:r>
      <w:r>
        <w:rPr>
          <w:rFonts w:hint="eastAsia" w:ascii="仿宋_GB2312" w:hAnsi="仿宋_GB2312" w:eastAsia="仿宋_GB2312" w:cs="仿宋_GB2312"/>
          <w:sz w:val="32"/>
          <w:szCs w:val="32"/>
        </w:rPr>
        <w:t>）按时、认真组织完成本项目技术工作文件的编制工作；</w:t>
      </w:r>
    </w:p>
    <w:p w14:paraId="6487FBAC">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4</w:t>
      </w:r>
      <w:r>
        <w:rPr>
          <w:rFonts w:hint="eastAsia" w:ascii="仿宋_GB2312" w:hAnsi="仿宋_GB2312" w:eastAsia="仿宋_GB2312" w:cs="仿宋_GB2312"/>
          <w:sz w:val="32"/>
          <w:szCs w:val="32"/>
        </w:rPr>
        <w:t>）带头坚持并维护竞赛公平公正，遵守保密纪律，不得有影响竞赛公平公正的言行；</w:t>
      </w:r>
    </w:p>
    <w:p w14:paraId="4FCED4B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5</w:t>
      </w:r>
      <w:r>
        <w:rPr>
          <w:rFonts w:hint="eastAsia" w:ascii="仿宋_GB2312" w:hAnsi="仿宋_GB2312" w:eastAsia="仿宋_GB2312" w:cs="仿宋_GB2312"/>
          <w:sz w:val="32"/>
          <w:szCs w:val="32"/>
        </w:rPr>
        <w:t>）按照组委会要求和执委会安排，参加并做好本项目裁判员的赛前培训，主持做好本项目赛前技术交流；</w:t>
      </w:r>
    </w:p>
    <w:p w14:paraId="4CC36B83">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6</w:t>
      </w:r>
      <w:r>
        <w:rPr>
          <w:rFonts w:hint="eastAsia" w:ascii="仿宋_GB2312" w:hAnsi="仿宋_GB2312" w:eastAsia="仿宋_GB2312" w:cs="仿宋_GB2312"/>
          <w:sz w:val="32"/>
          <w:szCs w:val="32"/>
        </w:rPr>
        <w:t>）采取多种措施保证公平公正，组织全体裁判员（含裁判长助理）做好本项目评判和相关技术工作；</w:t>
      </w:r>
    </w:p>
    <w:p w14:paraId="0000642C">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7</w:t>
      </w:r>
      <w:r>
        <w:rPr>
          <w:rFonts w:hint="eastAsia" w:ascii="仿宋_GB2312" w:hAnsi="仿宋_GB2312" w:eastAsia="仿宋_GB2312" w:cs="仿宋_GB2312"/>
          <w:sz w:val="32"/>
          <w:szCs w:val="32"/>
        </w:rPr>
        <w:t>）组织本项目开展技术总结和技术点评。</w:t>
      </w:r>
    </w:p>
    <w:p w14:paraId="2A0FAED2">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2</w:t>
      </w:r>
      <w:r>
        <w:rPr>
          <w:rFonts w:hint="eastAsia" w:ascii="仿宋_GB2312" w:hAnsi="仿宋_GB2312" w:eastAsia="仿宋_GB2312" w:cs="仿宋_GB2312"/>
          <w:sz w:val="32"/>
          <w:szCs w:val="32"/>
        </w:rPr>
        <w:t>.裁判员职责</w:t>
      </w:r>
    </w:p>
    <w:p w14:paraId="36B2890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1</w:t>
      </w:r>
      <w:r>
        <w:rPr>
          <w:rFonts w:hint="eastAsia" w:ascii="仿宋_GB2312" w:hAnsi="仿宋_GB2312" w:eastAsia="仿宋_GB2312" w:cs="仿宋_GB2312"/>
          <w:sz w:val="32"/>
          <w:szCs w:val="32"/>
        </w:rPr>
        <w:t>）参加赛前培训和技术讨论，熟练掌握竞赛技术规则；</w:t>
      </w:r>
    </w:p>
    <w:p w14:paraId="7A3FB7E4">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2</w:t>
      </w:r>
      <w:r>
        <w:rPr>
          <w:rFonts w:hint="eastAsia" w:ascii="仿宋_GB2312" w:hAnsi="仿宋_GB2312" w:eastAsia="仿宋_GB2312" w:cs="仿宋_GB2312"/>
          <w:sz w:val="32"/>
          <w:szCs w:val="32"/>
        </w:rPr>
        <w:t>）对有争议的问题提出客观、公正、合理的意见和建议；</w:t>
      </w:r>
    </w:p>
    <w:p w14:paraId="797EAAAC">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3</w:t>
      </w:r>
      <w:r>
        <w:rPr>
          <w:rFonts w:hint="eastAsia" w:ascii="仿宋_GB2312" w:hAnsi="仿宋_GB2312" w:eastAsia="仿宋_GB2312" w:cs="仿宋_GB2312"/>
          <w:sz w:val="32"/>
          <w:szCs w:val="32"/>
        </w:rPr>
        <w:t>）服从裁判长工作安排，认真做好本职工作；</w:t>
      </w:r>
    </w:p>
    <w:p w14:paraId="0B668AA3">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4</w:t>
      </w:r>
      <w:r>
        <w:rPr>
          <w:rFonts w:hint="eastAsia" w:ascii="仿宋_GB2312" w:hAnsi="仿宋_GB2312" w:eastAsia="仿宋_GB2312" w:cs="仿宋_GB2312"/>
          <w:sz w:val="32"/>
          <w:szCs w:val="32"/>
        </w:rPr>
        <w:t>）公平公正执裁，不徇私舞弊；</w:t>
      </w:r>
    </w:p>
    <w:p w14:paraId="77E15652">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Times New Roman" w:hAnsi="Times New Roman" w:eastAsia="仿宋_GB2312"/>
          <w:sz w:val="32"/>
          <w:szCs w:val="32"/>
        </w:rPr>
        <w:t>5</w:t>
      </w:r>
      <w:r>
        <w:rPr>
          <w:rFonts w:hint="eastAsia" w:ascii="仿宋_GB2312" w:hAnsi="仿宋_GB2312" w:eastAsia="仿宋_GB2312" w:cs="仿宋_GB2312"/>
          <w:sz w:val="32"/>
          <w:szCs w:val="32"/>
        </w:rPr>
        <w:t>）坚守岗位，严格遵守执裁时间安排，保证执裁工作正常进行。</w:t>
      </w:r>
    </w:p>
    <w:p w14:paraId="1AB9701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3</w:t>
      </w:r>
      <w:r>
        <w:rPr>
          <w:rFonts w:hint="eastAsia" w:ascii="仿宋_GB2312" w:hAnsi="仿宋_GB2312" w:eastAsia="仿宋_GB2312" w:cs="仿宋_GB2312"/>
          <w:sz w:val="32"/>
          <w:szCs w:val="32"/>
        </w:rPr>
        <w:t>.签署《竞赛行为规范承诺书》</w:t>
      </w:r>
    </w:p>
    <w:p w14:paraId="570DF633">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裁判长、裁判员确定后，执委会按照组委会要求组织裁判人员签署《竞赛行为规范承诺书》。凡未签署《竞赛行为规范承诺书》、未经批准不参加赛前培训的，不得从事执裁工作。</w:t>
      </w:r>
    </w:p>
    <w:p w14:paraId="4DAAE62E">
      <w:pPr>
        <w:pStyle w:val="2"/>
        <w:spacing w:before="0" w:after="0" w:line="560" w:lineRule="exact"/>
        <w:ind w:firstLine="640" w:firstLineChars="200"/>
        <w:rPr>
          <w:rFonts w:hint="eastAsia" w:ascii="楷体_GB2312" w:hAnsi="楷体_GB2312" w:eastAsia="楷体_GB2312" w:cs="楷体_GB2312"/>
          <w:b w:val="0"/>
          <w:bCs w:val="0"/>
        </w:rPr>
      </w:pPr>
      <w:bookmarkStart w:id="107" w:name="_Toc7714"/>
      <w:bookmarkStart w:id="108" w:name="_Toc11600"/>
      <w:bookmarkStart w:id="109" w:name="_Toc10726"/>
      <w:bookmarkStart w:id="110" w:name="_Toc144198130"/>
      <w:bookmarkStart w:id="111" w:name="_Toc11892"/>
      <w:bookmarkStart w:id="112" w:name="_Toc922"/>
      <w:r>
        <w:rPr>
          <w:rFonts w:hint="eastAsia" w:ascii="楷体_GB2312" w:hAnsi="楷体_GB2312" w:eastAsia="楷体_GB2312" w:cs="楷体_GB2312"/>
          <w:b w:val="0"/>
          <w:bCs w:val="0"/>
        </w:rPr>
        <w:t>（五）违规情形和处理</w:t>
      </w:r>
      <w:bookmarkEnd w:id="107"/>
      <w:bookmarkEnd w:id="108"/>
      <w:bookmarkEnd w:id="109"/>
      <w:bookmarkEnd w:id="110"/>
      <w:bookmarkEnd w:id="111"/>
      <w:bookmarkEnd w:id="112"/>
    </w:p>
    <w:p w14:paraId="304D62E1">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lang w:bidi="ar"/>
        </w:rPr>
        <w:t>1</w:t>
      </w:r>
      <w:r>
        <w:rPr>
          <w:rFonts w:hint="eastAsia" w:ascii="仿宋_GB2312" w:hAnsi="仿宋_GB2312" w:eastAsia="仿宋_GB2312" w:cs="仿宋_GB2312"/>
          <w:sz w:val="32"/>
          <w:szCs w:val="32"/>
          <w:lang w:bidi="ar"/>
        </w:rPr>
        <w:t xml:space="preserve">.选手有下列情形，需从参赛成绩中扣分 </w:t>
      </w:r>
    </w:p>
    <w:p w14:paraId="23D7285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ascii="Times New Roman" w:hAnsi="Times New Roman" w:eastAsia="仿宋_GB2312"/>
          <w:sz w:val="32"/>
          <w:szCs w:val="32"/>
          <w:lang w:bidi="ar"/>
        </w:rPr>
        <w:t>1</w:t>
      </w:r>
      <w:r>
        <w:rPr>
          <w:rFonts w:hint="eastAsia" w:ascii="仿宋_GB2312" w:hAnsi="仿宋_GB2312" w:eastAsia="仿宋_GB2312" w:cs="仿宋_GB2312"/>
          <w:sz w:val="32"/>
          <w:szCs w:val="32"/>
          <w:lang w:bidi="ar"/>
        </w:rPr>
        <w:t>）在完成工作任务的过程中，因操作不当导致事故，扣</w:t>
      </w:r>
      <w:r>
        <w:rPr>
          <w:rFonts w:ascii="Times New Roman" w:hAnsi="Times New Roman" w:eastAsia="仿宋_GB2312"/>
          <w:sz w:val="32"/>
          <w:szCs w:val="32"/>
          <w:lang w:bidi="ar"/>
        </w:rPr>
        <w:t>10</w:t>
      </w:r>
      <w:r>
        <w:rPr>
          <w:rFonts w:hint="eastAsia" w:ascii="仿宋_GB2312" w:hAnsi="仿宋_GB2312" w:eastAsia="仿宋_GB2312" w:cs="仿宋_GB2312"/>
          <w:sz w:val="32"/>
          <w:szCs w:val="32"/>
          <w:lang w:bidi="ar"/>
        </w:rPr>
        <w:t>～</w:t>
      </w:r>
      <w:r>
        <w:rPr>
          <w:rFonts w:ascii="Times New Roman" w:hAnsi="Times New Roman" w:eastAsia="仿宋_GB2312"/>
          <w:sz w:val="32"/>
          <w:szCs w:val="32"/>
          <w:lang w:bidi="ar"/>
        </w:rPr>
        <w:t>20</w:t>
      </w:r>
      <w:r>
        <w:rPr>
          <w:rFonts w:hint="eastAsia" w:ascii="仿宋_GB2312" w:hAnsi="仿宋_GB2312" w:eastAsia="仿宋_GB2312" w:cs="仿宋_GB2312"/>
          <w:sz w:val="32"/>
          <w:szCs w:val="32"/>
          <w:lang w:bidi="ar"/>
        </w:rPr>
        <w:t xml:space="preserve">分，情况严重者取消比赛资格。 </w:t>
      </w:r>
    </w:p>
    <w:p w14:paraId="1034040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ascii="Times New Roman" w:hAnsi="Times New Roman" w:eastAsia="仿宋_GB2312"/>
          <w:sz w:val="32"/>
          <w:szCs w:val="32"/>
          <w:lang w:bidi="ar"/>
        </w:rPr>
        <w:t>2</w:t>
      </w:r>
      <w:r>
        <w:rPr>
          <w:rFonts w:hint="eastAsia" w:ascii="仿宋_GB2312" w:hAnsi="仿宋_GB2312" w:eastAsia="仿宋_GB2312" w:cs="仿宋_GB2312"/>
          <w:sz w:val="32"/>
          <w:szCs w:val="32"/>
          <w:lang w:bidi="ar"/>
        </w:rPr>
        <w:t>）因违规操作损坏赛场提供的设备，污染赛场环境等不符合职业规范的行为，视情节扣</w:t>
      </w:r>
      <w:r>
        <w:rPr>
          <w:rFonts w:ascii="Times New Roman" w:hAnsi="Times New Roman" w:eastAsia="仿宋_GB2312"/>
          <w:sz w:val="32"/>
          <w:szCs w:val="32"/>
          <w:lang w:bidi="ar"/>
        </w:rPr>
        <w:t>5</w:t>
      </w:r>
      <w:r>
        <w:rPr>
          <w:rFonts w:hint="eastAsia" w:ascii="仿宋_GB2312" w:hAnsi="仿宋_GB2312" w:eastAsia="仿宋_GB2312" w:cs="仿宋_GB2312"/>
          <w:sz w:val="32"/>
          <w:szCs w:val="32"/>
          <w:lang w:bidi="ar"/>
        </w:rPr>
        <w:t>～</w:t>
      </w:r>
      <w:r>
        <w:rPr>
          <w:rFonts w:ascii="Times New Roman" w:hAnsi="Times New Roman" w:eastAsia="仿宋_GB2312"/>
          <w:sz w:val="32"/>
          <w:szCs w:val="32"/>
          <w:lang w:bidi="ar"/>
        </w:rPr>
        <w:t>10</w:t>
      </w:r>
      <w:r>
        <w:rPr>
          <w:rFonts w:hint="eastAsia" w:ascii="仿宋_GB2312" w:hAnsi="仿宋_GB2312" w:eastAsia="仿宋_GB2312" w:cs="仿宋_GB2312"/>
          <w:sz w:val="32"/>
          <w:szCs w:val="32"/>
          <w:lang w:bidi="ar"/>
        </w:rPr>
        <w:t xml:space="preserve">分。 </w:t>
      </w:r>
    </w:p>
    <w:p w14:paraId="368A3EC8">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ascii="Times New Roman" w:hAnsi="Times New Roman" w:eastAsia="仿宋_GB2312"/>
          <w:sz w:val="32"/>
          <w:szCs w:val="32"/>
          <w:lang w:bidi="ar"/>
        </w:rPr>
        <w:t>3</w:t>
      </w:r>
      <w:r>
        <w:rPr>
          <w:rFonts w:hint="eastAsia" w:ascii="仿宋_GB2312" w:hAnsi="仿宋_GB2312" w:eastAsia="仿宋_GB2312" w:cs="仿宋_GB2312"/>
          <w:sz w:val="32"/>
          <w:szCs w:val="32"/>
          <w:lang w:bidi="ar"/>
        </w:rPr>
        <w:t>）扰乱赛场秩序，干扰裁判员工作，视情节扣</w:t>
      </w:r>
      <w:r>
        <w:rPr>
          <w:rFonts w:ascii="Times New Roman" w:hAnsi="Times New Roman" w:eastAsia="仿宋_GB2312"/>
          <w:sz w:val="32"/>
          <w:szCs w:val="32"/>
          <w:lang w:bidi="ar"/>
        </w:rPr>
        <w:t>5</w:t>
      </w:r>
      <w:r>
        <w:rPr>
          <w:rFonts w:hint="eastAsia" w:ascii="仿宋_GB2312" w:hAnsi="仿宋_GB2312" w:eastAsia="仿宋_GB2312" w:cs="仿宋_GB2312"/>
          <w:sz w:val="32"/>
          <w:szCs w:val="32"/>
          <w:lang w:bidi="ar"/>
        </w:rPr>
        <w:t>～</w:t>
      </w:r>
      <w:r>
        <w:rPr>
          <w:rFonts w:ascii="Times New Roman" w:hAnsi="Times New Roman" w:eastAsia="仿宋_GB2312"/>
          <w:sz w:val="32"/>
          <w:szCs w:val="32"/>
          <w:lang w:bidi="ar"/>
        </w:rPr>
        <w:t>10</w:t>
      </w:r>
      <w:r>
        <w:rPr>
          <w:rFonts w:hint="eastAsia" w:ascii="仿宋_GB2312" w:hAnsi="仿宋_GB2312" w:eastAsia="仿宋_GB2312" w:cs="仿宋_GB2312"/>
          <w:sz w:val="32"/>
          <w:szCs w:val="32"/>
          <w:lang w:bidi="ar"/>
        </w:rPr>
        <w:t xml:space="preserve">分，情况严重者取消比赛资格。 </w:t>
      </w:r>
    </w:p>
    <w:p w14:paraId="70973CC5">
      <w:pPr>
        <w:spacing w:line="560" w:lineRule="exact"/>
        <w:ind w:firstLine="640" w:firstLineChars="200"/>
        <w:rPr>
          <w:rFonts w:hint="eastAsia" w:ascii="仿宋_GB2312" w:hAnsi="仿宋_GB2312" w:eastAsia="仿宋_GB2312" w:cs="仿宋_GB2312"/>
          <w:sz w:val="32"/>
          <w:szCs w:val="32"/>
          <w:lang w:bidi="ar"/>
        </w:rPr>
      </w:pPr>
      <w:r>
        <w:rPr>
          <w:rFonts w:ascii="Times New Roman" w:hAnsi="Times New Roman" w:eastAsia="仿宋_GB2312"/>
          <w:sz w:val="32"/>
          <w:szCs w:val="32"/>
          <w:lang w:bidi="ar"/>
        </w:rPr>
        <w:t>2</w:t>
      </w:r>
      <w:r>
        <w:rPr>
          <w:rFonts w:hint="eastAsia" w:ascii="仿宋_GB2312" w:hAnsi="仿宋_GB2312" w:eastAsia="仿宋_GB2312" w:cs="仿宋_GB2312"/>
          <w:sz w:val="32"/>
          <w:szCs w:val="32"/>
          <w:lang w:bidi="ar"/>
        </w:rPr>
        <w:t>.违规处理范围</w:t>
      </w:r>
    </w:p>
    <w:p w14:paraId="750341A8">
      <w:pPr>
        <w:spacing w:line="560" w:lineRule="exact"/>
        <w:ind w:firstLine="640" w:firstLineChars="200"/>
        <w:rPr>
          <w:rFonts w:hint="eastAsia" w:ascii="仿宋_GB2312" w:hAnsi="仿宋_GB2312" w:eastAsia="仿宋_GB2312" w:cs="仿宋_GB2312"/>
          <w:sz w:val="32"/>
          <w:szCs w:val="32"/>
          <w:lang w:bidi="ar"/>
        </w:rPr>
      </w:pPr>
      <w:r>
        <w:rPr>
          <w:rFonts w:ascii="Times New Roman" w:hAnsi="Times New Roman" w:eastAsia="仿宋_GB2312"/>
          <w:sz w:val="32"/>
          <w:szCs w:val="32"/>
          <w:lang w:bidi="ar"/>
        </w:rPr>
        <w:t>2025</w:t>
      </w:r>
      <w:r>
        <w:rPr>
          <w:rFonts w:hint="eastAsia" w:ascii="仿宋_GB2312" w:hAnsi="仿宋_GB2312" w:eastAsia="仿宋_GB2312" w:cs="仿宋_GB2312"/>
          <w:sz w:val="32"/>
          <w:szCs w:val="32"/>
          <w:lang w:bidi="ar"/>
        </w:rPr>
        <w:t>年南宁市职工职业技能大赛期间，对参赛选手、裁判人员、场地经理及助理、其他赛务保障工作人员、各参赛队领队及助理、执裁观察员及保障观察员等，出现违反《竞赛行为规范承诺书》和本项目技术工作文件中公布的竞赛纪律或其他有碍竞赛公平公正的行为，由相应的人员或机构及时纠正并处理。</w:t>
      </w:r>
    </w:p>
    <w:p w14:paraId="18FAC00C">
      <w:pPr>
        <w:spacing w:line="560" w:lineRule="exact"/>
        <w:ind w:firstLine="640" w:firstLineChars="200"/>
        <w:rPr>
          <w:rFonts w:hint="eastAsia" w:ascii="仿宋_GB2312" w:hAnsi="仿宋_GB2312" w:eastAsia="仿宋_GB2312" w:cs="仿宋_GB2312"/>
          <w:sz w:val="32"/>
          <w:szCs w:val="32"/>
          <w:lang w:bidi="ar"/>
        </w:rPr>
      </w:pPr>
      <w:r>
        <w:rPr>
          <w:rFonts w:ascii="Times New Roman" w:hAnsi="Times New Roman" w:eastAsia="仿宋_GB2312"/>
          <w:sz w:val="32"/>
          <w:szCs w:val="32"/>
          <w:lang w:bidi="ar"/>
        </w:rPr>
        <w:t>3</w:t>
      </w:r>
      <w:r>
        <w:rPr>
          <w:rFonts w:hint="eastAsia" w:ascii="仿宋_GB2312" w:hAnsi="仿宋_GB2312" w:eastAsia="仿宋_GB2312" w:cs="仿宋_GB2312"/>
          <w:sz w:val="32"/>
          <w:szCs w:val="32"/>
          <w:lang w:bidi="ar"/>
        </w:rPr>
        <w:t>.违规处理实施人</w:t>
      </w:r>
    </w:p>
    <w:p w14:paraId="66A64321">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ascii="Times New Roman" w:hAnsi="Times New Roman" w:eastAsia="仿宋_GB2312"/>
          <w:sz w:val="32"/>
          <w:szCs w:val="32"/>
          <w:lang w:bidi="ar"/>
        </w:rPr>
        <w:t>1</w:t>
      </w:r>
      <w:r>
        <w:rPr>
          <w:rFonts w:hint="eastAsia" w:ascii="仿宋_GB2312" w:hAnsi="仿宋_GB2312" w:eastAsia="仿宋_GB2312" w:cs="仿宋_GB2312"/>
          <w:sz w:val="32"/>
          <w:szCs w:val="32"/>
          <w:lang w:bidi="ar"/>
        </w:rPr>
        <w:t>）参赛选手</w:t>
      </w:r>
    </w:p>
    <w:p w14:paraId="136A40BA">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ascii="Times New Roman" w:hAnsi="Times New Roman" w:eastAsia="仿宋_GB2312"/>
          <w:sz w:val="32"/>
          <w:szCs w:val="32"/>
          <w:lang w:bidi="ar"/>
        </w:rPr>
        <w:t>2025</w:t>
      </w:r>
      <w:r>
        <w:rPr>
          <w:rFonts w:hint="eastAsia" w:ascii="仿宋_GB2312" w:hAnsi="仿宋_GB2312" w:eastAsia="仿宋_GB2312" w:cs="仿宋_GB2312"/>
          <w:sz w:val="32"/>
          <w:szCs w:val="32"/>
          <w:lang w:bidi="ar"/>
        </w:rPr>
        <w:t>年南宁市职工职业技能大赛期间的违规行为，由裁判长依据相关规定处理或组织裁判员研究后处理，并将处理结果报监督仲裁委。</w:t>
      </w:r>
    </w:p>
    <w:p w14:paraId="6E41DD15">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ascii="Times New Roman" w:hAnsi="Times New Roman" w:eastAsia="仿宋_GB2312"/>
          <w:sz w:val="32"/>
          <w:szCs w:val="32"/>
          <w:lang w:bidi="ar"/>
        </w:rPr>
        <w:t>2</w:t>
      </w:r>
      <w:r>
        <w:rPr>
          <w:rFonts w:hint="eastAsia" w:ascii="仿宋_GB2312" w:hAnsi="仿宋_GB2312" w:eastAsia="仿宋_GB2312" w:cs="仿宋_GB2312"/>
          <w:sz w:val="32"/>
          <w:szCs w:val="32"/>
          <w:lang w:bidi="ar"/>
        </w:rPr>
        <w:t>）其他人员（包括裁判人员、场地经理及助理、其他赛务技术保障人员、各参赛队领队及助理等）</w:t>
      </w:r>
    </w:p>
    <w:p w14:paraId="6FCB73B3">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ascii="Times New Roman" w:hAnsi="Times New Roman" w:eastAsia="仿宋_GB2312"/>
          <w:sz w:val="32"/>
          <w:szCs w:val="32"/>
          <w:lang w:bidi="ar"/>
        </w:rPr>
        <w:t>2025</w:t>
      </w:r>
      <w:r>
        <w:rPr>
          <w:rFonts w:hint="eastAsia" w:ascii="仿宋_GB2312" w:hAnsi="仿宋_GB2312" w:eastAsia="仿宋_GB2312" w:cs="仿宋_GB2312"/>
          <w:sz w:val="32"/>
          <w:szCs w:val="32"/>
          <w:lang w:bidi="ar"/>
        </w:rPr>
        <w:t>年南宁市职工职业技能大赛期间的违规行为，由执委会监督仲裁协助部配合组委会监督仲裁委处理。处理意见抄送组委会秘书处、技术工作组及执委会相关部门。</w:t>
      </w:r>
    </w:p>
    <w:p w14:paraId="6B228AA4">
      <w:pPr>
        <w:spacing w:line="560" w:lineRule="exact"/>
        <w:ind w:firstLine="640" w:firstLineChars="200"/>
        <w:rPr>
          <w:rFonts w:hint="eastAsia" w:ascii="仿宋_GB2312" w:hAnsi="仿宋_GB2312" w:eastAsia="仿宋_GB2312" w:cs="仿宋_GB2312"/>
          <w:sz w:val="32"/>
          <w:szCs w:val="32"/>
          <w:lang w:bidi="ar"/>
        </w:rPr>
      </w:pPr>
      <w:r>
        <w:rPr>
          <w:rFonts w:ascii="Times New Roman" w:hAnsi="Times New Roman" w:eastAsia="仿宋_GB2312"/>
          <w:sz w:val="32"/>
          <w:szCs w:val="32"/>
          <w:lang w:bidi="ar"/>
        </w:rPr>
        <w:t>4</w:t>
      </w:r>
      <w:r>
        <w:rPr>
          <w:rFonts w:hint="eastAsia" w:ascii="仿宋_GB2312" w:hAnsi="仿宋_GB2312" w:eastAsia="仿宋_GB2312" w:cs="仿宋_GB2312"/>
          <w:sz w:val="32"/>
          <w:szCs w:val="32"/>
          <w:lang w:bidi="ar"/>
        </w:rPr>
        <w:t>.违规处理结果</w:t>
      </w:r>
    </w:p>
    <w:p w14:paraId="272DB615">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对上述违规行为，视情节给予约谈、警告、严重警告处理。受到严重警告的人员，将限制其今后参与区级及以上竞赛的相关工作。受到违规处理较多的参赛队，组委会将对其今后参赛工作进行限制。处理结果将与相关人员评价和评估相结合，并在一定范围内通报。对裁判长的处理结果纳入其工作评估。对各参赛领队及助理违规行为的处理结果 ，通报本人所在单位。</w:t>
      </w:r>
    </w:p>
    <w:p w14:paraId="1FAF0AE3">
      <w:pPr>
        <w:spacing w:line="560" w:lineRule="exact"/>
        <w:ind w:firstLine="640" w:firstLineChars="200"/>
        <w:rPr>
          <w:rFonts w:hint="eastAsia" w:ascii="仿宋_GB2312" w:hAnsi="仿宋_GB2312" w:eastAsia="仿宋_GB2312" w:cs="仿宋_GB2312"/>
          <w:sz w:val="32"/>
          <w:szCs w:val="32"/>
          <w:lang w:bidi="ar"/>
        </w:rPr>
      </w:pPr>
      <w:r>
        <w:rPr>
          <w:rFonts w:ascii="Times New Roman" w:hAnsi="Times New Roman" w:eastAsia="仿宋_GB2312"/>
          <w:sz w:val="32"/>
          <w:szCs w:val="32"/>
          <w:lang w:bidi="ar"/>
        </w:rPr>
        <w:t>5</w:t>
      </w:r>
      <w:r>
        <w:rPr>
          <w:rFonts w:hint="eastAsia" w:ascii="仿宋_GB2312" w:hAnsi="仿宋_GB2312" w:eastAsia="仿宋_GB2312" w:cs="仿宋_GB2312"/>
          <w:sz w:val="32"/>
          <w:szCs w:val="32"/>
          <w:lang w:bidi="ar"/>
        </w:rPr>
        <w:t>.违规处理登记</w:t>
      </w:r>
    </w:p>
    <w:p w14:paraId="1941765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违规行为处理结果，由实施人在《</w:t>
      </w:r>
      <w:r>
        <w:rPr>
          <w:rFonts w:ascii="Times New Roman" w:hAnsi="Times New Roman" w:eastAsia="仿宋_GB2312"/>
          <w:sz w:val="32"/>
          <w:szCs w:val="32"/>
          <w:lang w:bidi="ar"/>
        </w:rPr>
        <w:t>2025</w:t>
      </w:r>
      <w:r>
        <w:rPr>
          <w:rFonts w:hint="eastAsia" w:ascii="仿宋_GB2312" w:hAnsi="仿宋_GB2312" w:eastAsia="仿宋_GB2312" w:cs="仿宋_GB2312"/>
          <w:sz w:val="32"/>
          <w:szCs w:val="32"/>
          <w:lang w:bidi="ar"/>
        </w:rPr>
        <w:t>年南宁市职工职业技能大赛违规行为处理登记表》中记录并交执委会存档备查。在</w:t>
      </w:r>
      <w:r>
        <w:rPr>
          <w:rFonts w:ascii="Times New Roman" w:hAnsi="Times New Roman" w:eastAsia="仿宋_GB2312"/>
          <w:sz w:val="32"/>
          <w:szCs w:val="32"/>
          <w:lang w:bidi="ar"/>
        </w:rPr>
        <w:t>2025</w:t>
      </w:r>
      <w:r>
        <w:rPr>
          <w:rFonts w:hint="eastAsia" w:ascii="仿宋_GB2312" w:hAnsi="仿宋_GB2312" w:eastAsia="仿宋_GB2312" w:cs="仿宋_GB2312"/>
          <w:sz w:val="32"/>
          <w:szCs w:val="32"/>
          <w:lang w:bidi="ar"/>
        </w:rPr>
        <w:t>年南宁市职工职业技能大赛结束后</w:t>
      </w:r>
      <w:r>
        <w:rPr>
          <w:rFonts w:ascii="Times New Roman" w:hAnsi="Times New Roman" w:eastAsia="仿宋_GB2312"/>
          <w:sz w:val="32"/>
          <w:szCs w:val="32"/>
          <w:lang w:bidi="ar"/>
        </w:rPr>
        <w:t>1</w:t>
      </w:r>
      <w:r>
        <w:rPr>
          <w:rFonts w:hint="eastAsia" w:ascii="仿宋_GB2312" w:hAnsi="仿宋_GB2312" w:eastAsia="仿宋_GB2312" w:cs="仿宋_GB2312"/>
          <w:sz w:val="32"/>
          <w:szCs w:val="32"/>
          <w:lang w:bidi="ar"/>
        </w:rPr>
        <w:t>周内，由执委会汇总违规处理情况报送组委会备案。</w:t>
      </w:r>
    </w:p>
    <w:p w14:paraId="7F65B334">
      <w:pPr>
        <w:pStyle w:val="2"/>
        <w:spacing w:before="0" w:after="0" w:line="560" w:lineRule="exact"/>
        <w:ind w:firstLine="640" w:firstLineChars="200"/>
        <w:rPr>
          <w:rFonts w:hint="eastAsia" w:ascii="楷体_GB2312" w:hAnsi="楷体_GB2312" w:eastAsia="楷体_GB2312" w:cs="楷体_GB2312"/>
          <w:b w:val="0"/>
          <w:bCs w:val="0"/>
        </w:rPr>
      </w:pPr>
      <w:bookmarkStart w:id="113" w:name="_Toc24106"/>
      <w:bookmarkStart w:id="114" w:name="_Toc1563"/>
      <w:bookmarkStart w:id="115" w:name="_Toc13693"/>
      <w:bookmarkStart w:id="116" w:name="_Toc26313"/>
      <w:bookmarkStart w:id="117" w:name="_Toc13886"/>
      <w:bookmarkStart w:id="118" w:name="_Toc144198131"/>
      <w:r>
        <w:rPr>
          <w:rFonts w:hint="eastAsia" w:ascii="楷体_GB2312" w:hAnsi="楷体_GB2312" w:eastAsia="楷体_GB2312" w:cs="楷体_GB2312"/>
          <w:b w:val="0"/>
          <w:bCs w:val="0"/>
        </w:rPr>
        <w:t>（六）问题或争议的处理</w:t>
      </w:r>
      <w:bookmarkEnd w:id="113"/>
      <w:bookmarkEnd w:id="114"/>
      <w:bookmarkEnd w:id="115"/>
      <w:bookmarkEnd w:id="116"/>
      <w:bookmarkEnd w:id="117"/>
      <w:bookmarkEnd w:id="118"/>
      <w:r>
        <w:rPr>
          <w:rFonts w:hint="eastAsia" w:ascii="楷体_GB2312" w:hAnsi="楷体_GB2312" w:eastAsia="楷体_GB2312" w:cs="楷体_GB2312"/>
          <w:b w:val="0"/>
          <w:bCs w:val="0"/>
        </w:rPr>
        <w:tab/>
      </w:r>
    </w:p>
    <w:p w14:paraId="7B98DCA8">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2025</w:t>
      </w:r>
      <w:r>
        <w:rPr>
          <w:rFonts w:hint="eastAsia" w:ascii="仿宋_GB2312" w:hAnsi="仿宋_GB2312" w:eastAsia="仿宋_GB2312" w:cs="仿宋_GB2312"/>
          <w:sz w:val="32"/>
          <w:szCs w:val="32"/>
        </w:rPr>
        <w:t xml:space="preserve">年南宁市职工职业技能大赛期间，与竞赛有关的问题或争议，各方应通过正当渠道并按程序反映和申诉，不得擅自传播、扩散未经核查证实的言论、信息。 </w:t>
      </w:r>
    </w:p>
    <w:p w14:paraId="3256022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对竞赛期间出现的问题或争议按以下程序解决： </w:t>
      </w:r>
    </w:p>
    <w:p w14:paraId="289D8C61">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1</w:t>
      </w:r>
      <w:r>
        <w:rPr>
          <w:rFonts w:hint="eastAsia" w:ascii="仿宋_GB2312" w:hAnsi="仿宋_GB2312" w:eastAsia="仿宋_GB2312" w:cs="仿宋_GB2312"/>
          <w:sz w:val="32"/>
          <w:szCs w:val="32"/>
        </w:rPr>
        <w:t>.竞赛项目内解决</w:t>
      </w:r>
    </w:p>
    <w:p w14:paraId="3F1F228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w:t>
      </w:r>
      <w:r>
        <w:rPr>
          <w:rFonts w:ascii="Times New Roman" w:hAnsi="Times New Roman" w:eastAsia="仿宋_GB2312"/>
          <w:sz w:val="32"/>
          <w:szCs w:val="32"/>
        </w:rPr>
        <w:t>2025</w:t>
      </w:r>
      <w:r>
        <w:rPr>
          <w:rFonts w:hint="eastAsia" w:ascii="仿宋_GB2312" w:hAnsi="仿宋_GB2312" w:eastAsia="仿宋_GB2312" w:cs="仿宋_GB2312"/>
          <w:sz w:val="32"/>
          <w:szCs w:val="32"/>
        </w:rPr>
        <w:t xml:space="preserve">年南宁市职工职业技能大赛问题或争议处理记录表》。 </w:t>
      </w:r>
    </w:p>
    <w:p w14:paraId="287C8536">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2</w:t>
      </w:r>
      <w:r>
        <w:rPr>
          <w:rFonts w:hint="eastAsia" w:ascii="仿宋_GB2312" w:hAnsi="仿宋_GB2312" w:eastAsia="仿宋_GB2312" w:cs="仿宋_GB2312"/>
          <w:sz w:val="32"/>
          <w:szCs w:val="32"/>
        </w:rPr>
        <w:t>.监督仲裁委解决</w:t>
      </w:r>
    </w:p>
    <w:p w14:paraId="4C0F3F3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对项目内处理结果有异议的，在参赛选手成绩最终确认锁定前，各参赛队领队可向监督仲裁委出具署名的书面反映材料并举证。监督仲裁委在执委会监督仲裁协助部协助下受理并开展调查工作。其中，经调查确认所反映情况属技术性问题或争议的，仍交由各竞赛项目内解决。属非技术性问题或争议，由监督仲裁委作出最终裁决。 </w:t>
      </w:r>
    </w:p>
    <w:p w14:paraId="498040D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各类问题或争议处理情况，由执委会监督仲裁协助部填写《争议处理记录表》报监督仲裁委备案。</w:t>
      </w:r>
    </w:p>
    <w:p w14:paraId="41A9E8C7">
      <w:pPr>
        <w:spacing w:after="160" w:line="560" w:lineRule="exact"/>
        <w:ind w:firstLine="640" w:firstLineChars="200"/>
        <w:outlineLvl w:val="0"/>
        <w:rPr>
          <w:rFonts w:hint="eastAsia" w:ascii="黑体" w:hAnsi="黑体" w:eastAsia="黑体" w:cs="黑体"/>
          <w:bCs/>
          <w:sz w:val="32"/>
          <w:szCs w:val="32"/>
        </w:rPr>
      </w:pPr>
      <w:bookmarkStart w:id="119" w:name="_Toc15028"/>
      <w:bookmarkStart w:id="120" w:name="_Toc11781"/>
      <w:bookmarkStart w:id="121" w:name="_Toc18431"/>
      <w:bookmarkStart w:id="122" w:name="_Toc11076"/>
      <w:bookmarkStart w:id="123" w:name="_Toc141450660"/>
      <w:bookmarkStart w:id="124" w:name="_Toc11518"/>
      <w:bookmarkStart w:id="125" w:name="_Toc29501"/>
      <w:r>
        <w:rPr>
          <w:rFonts w:hint="eastAsia" w:ascii="黑体" w:hAnsi="黑体" w:eastAsia="黑体" w:cs="黑体"/>
          <w:bCs/>
          <w:sz w:val="32"/>
          <w:szCs w:val="32"/>
        </w:rPr>
        <w:t>四、竞赛场地、设施设备等安排</w:t>
      </w:r>
      <w:bookmarkEnd w:id="119"/>
      <w:bookmarkEnd w:id="120"/>
      <w:bookmarkEnd w:id="121"/>
      <w:bookmarkEnd w:id="122"/>
      <w:bookmarkEnd w:id="123"/>
      <w:bookmarkEnd w:id="124"/>
      <w:bookmarkEnd w:id="125"/>
    </w:p>
    <w:bookmarkEnd w:id="32"/>
    <w:p w14:paraId="2E53E5D2">
      <w:pPr>
        <w:spacing w:line="560" w:lineRule="exact"/>
        <w:ind w:firstLine="640" w:firstLineChars="200"/>
        <w:outlineLvl w:val="1"/>
        <w:rPr>
          <w:rFonts w:hint="eastAsia" w:ascii="楷体_GB2312" w:hAnsi="楷体_GB2312" w:eastAsia="楷体_GB2312" w:cs="楷体_GB2312"/>
          <w:bCs/>
          <w:sz w:val="32"/>
          <w:szCs w:val="32"/>
        </w:rPr>
      </w:pPr>
      <w:bookmarkStart w:id="126" w:name="_Toc141450661"/>
      <w:bookmarkStart w:id="127" w:name="_Toc5814"/>
      <w:bookmarkStart w:id="128" w:name="_Toc13170"/>
      <w:bookmarkStart w:id="129" w:name="_Toc5637"/>
      <w:bookmarkStart w:id="130" w:name="_Toc29521"/>
      <w:bookmarkStart w:id="131" w:name="_Toc22605"/>
      <w:bookmarkStart w:id="132" w:name="_Toc29372"/>
      <w:r>
        <w:rPr>
          <w:rFonts w:hint="eastAsia" w:ascii="楷体_GB2312" w:hAnsi="楷体_GB2312" w:eastAsia="楷体_GB2312" w:cs="楷体_GB2312"/>
          <w:bCs/>
          <w:sz w:val="32"/>
          <w:szCs w:val="32"/>
        </w:rPr>
        <w:t>（一）赛场规格要求</w:t>
      </w:r>
      <w:bookmarkEnd w:id="126"/>
      <w:bookmarkEnd w:id="127"/>
      <w:bookmarkEnd w:id="128"/>
      <w:bookmarkEnd w:id="129"/>
      <w:bookmarkEnd w:id="130"/>
      <w:bookmarkEnd w:id="131"/>
      <w:bookmarkEnd w:id="132"/>
    </w:p>
    <w:p w14:paraId="63A486B9">
      <w:pPr>
        <w:spacing w:line="560" w:lineRule="exact"/>
        <w:ind w:firstLine="640" w:firstLineChars="200"/>
        <w:rPr>
          <w:rFonts w:hint="eastAsia" w:ascii="仿宋_GB2312" w:hAnsi="仿宋_GB2312" w:eastAsia="仿宋_GB2312" w:cs="仿宋_GB2312"/>
          <w:sz w:val="32"/>
          <w:szCs w:val="32"/>
        </w:rPr>
      </w:pPr>
      <w:bookmarkStart w:id="133" w:name="_Toc20317"/>
      <w:bookmarkStart w:id="134" w:name="_Toc141450662"/>
      <w:r>
        <w:rPr>
          <w:rFonts w:ascii="Times New Roman" w:hAnsi="Times New Roman" w:eastAsia="仿宋_GB2312"/>
          <w:sz w:val="32"/>
          <w:szCs w:val="32"/>
        </w:rPr>
        <w:t>1</w:t>
      </w:r>
      <w:r>
        <w:rPr>
          <w:rFonts w:hint="eastAsia" w:ascii="仿宋_GB2312" w:hAnsi="仿宋_GB2312" w:eastAsia="仿宋_GB2312" w:cs="仿宋_GB2312"/>
          <w:sz w:val="32"/>
          <w:szCs w:val="32"/>
        </w:rPr>
        <w:t>.竞赛场地内设置满足所有参赛选手的竞赛环境。赛场内设置竞赛区、技术服务区、评分室、录分室等，其中评分室满足所有评分裁判同时评分。</w:t>
      </w:r>
    </w:p>
    <w:p w14:paraId="39D15474">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2</w:t>
      </w:r>
      <w:r>
        <w:rPr>
          <w:rFonts w:hint="eastAsia" w:ascii="仿宋_GB2312" w:hAnsi="仿宋_GB2312" w:eastAsia="仿宋_GB2312" w:cs="仿宋_GB2312"/>
          <w:sz w:val="32"/>
          <w:szCs w:val="32"/>
        </w:rPr>
        <w:t>.每个赛位包含</w:t>
      </w:r>
      <w:r>
        <w:rPr>
          <w:rFonts w:ascii="Times New Roman" w:hAnsi="Times New Roman" w:eastAsia="仿宋_GB2312"/>
          <w:sz w:val="32"/>
          <w:szCs w:val="32"/>
        </w:rPr>
        <w:t>1</w:t>
      </w:r>
      <w:r>
        <w:rPr>
          <w:rFonts w:hint="eastAsia" w:ascii="仿宋_GB2312" w:hAnsi="仿宋_GB2312" w:eastAsia="仿宋_GB2312" w:cs="仿宋_GB2312"/>
          <w:sz w:val="32"/>
          <w:szCs w:val="32"/>
        </w:rPr>
        <w:t>套桌椅、</w:t>
      </w:r>
      <w:r>
        <w:rPr>
          <w:rFonts w:ascii="Times New Roman" w:hAnsi="Times New Roman" w:eastAsia="仿宋_GB2312"/>
          <w:sz w:val="32"/>
          <w:szCs w:val="32"/>
        </w:rPr>
        <w:t>1</w:t>
      </w:r>
      <w:r>
        <w:rPr>
          <w:rFonts w:hint="eastAsia" w:ascii="仿宋_GB2312" w:hAnsi="仿宋_GB2312" w:eastAsia="仿宋_GB2312" w:cs="仿宋_GB2312"/>
          <w:sz w:val="32"/>
          <w:szCs w:val="32"/>
        </w:rPr>
        <w:t>台电脑、</w:t>
      </w:r>
      <w:r>
        <w:rPr>
          <w:rFonts w:ascii="Times New Roman" w:hAnsi="Times New Roman" w:eastAsia="仿宋_GB2312"/>
          <w:sz w:val="32"/>
          <w:szCs w:val="32"/>
        </w:rPr>
        <w:t>1</w:t>
      </w:r>
      <w:r>
        <w:rPr>
          <w:rFonts w:hint="eastAsia" w:ascii="仿宋_GB2312" w:hAnsi="仿宋_GB2312" w:eastAsia="仿宋_GB2312" w:cs="仿宋_GB2312"/>
          <w:sz w:val="32"/>
          <w:szCs w:val="32"/>
        </w:rPr>
        <w:t>套鼠标键盘、</w:t>
      </w:r>
      <w:r>
        <w:rPr>
          <w:rFonts w:ascii="Times New Roman" w:hAnsi="Times New Roman" w:eastAsia="仿宋_GB2312"/>
          <w:sz w:val="32"/>
          <w:szCs w:val="32"/>
        </w:rPr>
        <w:t>1</w:t>
      </w:r>
      <w:r>
        <w:rPr>
          <w:rFonts w:hint="eastAsia" w:ascii="仿宋_GB2312" w:hAnsi="仿宋_GB2312" w:eastAsia="仿宋_GB2312" w:cs="仿宋_GB2312"/>
          <w:sz w:val="32"/>
          <w:szCs w:val="32"/>
        </w:rPr>
        <w:t>个补光灯、</w:t>
      </w:r>
      <w:r>
        <w:rPr>
          <w:rFonts w:ascii="Times New Roman" w:hAnsi="Times New Roman" w:eastAsia="仿宋_GB2312"/>
          <w:sz w:val="32"/>
          <w:szCs w:val="32"/>
        </w:rPr>
        <w:t>1</w:t>
      </w:r>
      <w:r>
        <w:rPr>
          <w:rFonts w:hint="eastAsia" w:ascii="仿宋_GB2312" w:hAnsi="仿宋_GB2312" w:eastAsia="仿宋_GB2312" w:cs="仿宋_GB2312"/>
          <w:sz w:val="32"/>
          <w:szCs w:val="32"/>
        </w:rPr>
        <w:t>个支架、</w:t>
      </w:r>
      <w:r>
        <w:rPr>
          <w:rFonts w:ascii="Times New Roman" w:hAnsi="Times New Roman" w:eastAsia="仿宋_GB2312"/>
          <w:sz w:val="32"/>
          <w:szCs w:val="32"/>
        </w:rPr>
        <w:t>1</w:t>
      </w:r>
      <w:r>
        <w:rPr>
          <w:rFonts w:hint="eastAsia" w:ascii="仿宋_GB2312" w:hAnsi="仿宋_GB2312" w:eastAsia="仿宋_GB2312" w:cs="仿宋_GB2312"/>
          <w:sz w:val="32"/>
          <w:szCs w:val="32"/>
        </w:rPr>
        <w:t>套直播商品等。</w:t>
      </w:r>
    </w:p>
    <w:p w14:paraId="2EA1B98A">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3</w:t>
      </w:r>
      <w:r>
        <w:rPr>
          <w:rFonts w:hint="eastAsia" w:ascii="仿宋_GB2312" w:hAnsi="仿宋_GB2312" w:eastAsia="仿宋_GB2312" w:cs="仿宋_GB2312"/>
          <w:sz w:val="32"/>
          <w:szCs w:val="32"/>
        </w:rPr>
        <w:t>.竞赛场地内设置背景板、宣传横幅及壁挂图，营造竞赛氛围。</w:t>
      </w:r>
    </w:p>
    <w:p w14:paraId="0D579CFB">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4</w:t>
      </w:r>
      <w:r>
        <w:rPr>
          <w:rFonts w:hint="eastAsia" w:ascii="仿宋_GB2312" w:hAnsi="仿宋_GB2312" w:eastAsia="仿宋_GB2312" w:cs="仿宋_GB2312"/>
          <w:sz w:val="32"/>
          <w:szCs w:val="32"/>
        </w:rPr>
        <w:t>.局域网络。采用星形网络拓扑结构，安装千兆交换机。网线与电源线隐蔽铺设。采用独立网络环境，不连接</w:t>
      </w:r>
      <w:r>
        <w:rPr>
          <w:rFonts w:ascii="Times New Roman" w:hAnsi="Times New Roman" w:eastAsia="仿宋_GB2312"/>
          <w:sz w:val="32"/>
          <w:szCs w:val="32"/>
        </w:rPr>
        <w:t>INTERNET</w:t>
      </w:r>
      <w:r>
        <w:rPr>
          <w:rFonts w:hint="eastAsia" w:ascii="仿宋_GB2312" w:hAnsi="仿宋_GB2312" w:eastAsia="仿宋_GB2312" w:cs="仿宋_GB2312"/>
          <w:sz w:val="32"/>
          <w:szCs w:val="32"/>
        </w:rPr>
        <w:t>，禁止外部电脑接入。</w:t>
      </w:r>
    </w:p>
    <w:p w14:paraId="752E0559">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5</w:t>
      </w:r>
      <w:r>
        <w:rPr>
          <w:rFonts w:hint="eastAsia" w:ascii="仿宋_GB2312" w:hAnsi="仿宋_GB2312" w:eastAsia="仿宋_GB2312" w:cs="仿宋_GB2312"/>
          <w:sz w:val="32"/>
          <w:szCs w:val="32"/>
        </w:rPr>
        <w:t>.安全保障。采用统一的杀毒软件对服务器进行防毒保护。屏蔽竞赛现场使用的电脑</w:t>
      </w:r>
      <w:r>
        <w:rPr>
          <w:rFonts w:ascii="Times New Roman" w:hAnsi="Times New Roman" w:eastAsia="仿宋_GB2312"/>
          <w:sz w:val="32"/>
          <w:szCs w:val="32"/>
        </w:rPr>
        <w:t>USB</w:t>
      </w:r>
      <w:r>
        <w:rPr>
          <w:rFonts w:hint="eastAsia" w:ascii="仿宋_GB2312" w:hAnsi="仿宋_GB2312" w:eastAsia="仿宋_GB2312" w:cs="仿宋_GB2312"/>
          <w:sz w:val="32"/>
          <w:szCs w:val="32"/>
        </w:rPr>
        <w:t>接口。</w:t>
      </w:r>
    </w:p>
    <w:p w14:paraId="01902212">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6</w:t>
      </w:r>
      <w:r>
        <w:rPr>
          <w:rFonts w:hint="eastAsia" w:ascii="仿宋_GB2312" w:hAnsi="仿宋_GB2312" w:eastAsia="仿宋_GB2312" w:cs="仿宋_GB2312"/>
          <w:sz w:val="32"/>
          <w:szCs w:val="32"/>
        </w:rPr>
        <w:t>.采用双路供电；利用</w:t>
      </w:r>
      <w:r>
        <w:rPr>
          <w:rFonts w:ascii="Times New Roman" w:hAnsi="Times New Roman" w:eastAsia="仿宋_GB2312"/>
          <w:sz w:val="32"/>
          <w:szCs w:val="32"/>
        </w:rPr>
        <w:t>UPS</w:t>
      </w:r>
      <w:r>
        <w:rPr>
          <w:rFonts w:hint="eastAsia" w:ascii="仿宋_GB2312" w:hAnsi="仿宋_GB2312" w:eastAsia="仿宋_GB2312" w:cs="仿宋_GB2312"/>
          <w:sz w:val="32"/>
          <w:szCs w:val="32"/>
        </w:rPr>
        <w:t>防止现场因突然断电导致的系统数据丢失，额定功率：</w:t>
      </w:r>
      <w:r>
        <w:rPr>
          <w:rFonts w:ascii="Times New Roman" w:hAnsi="Times New Roman" w:eastAsia="仿宋_GB2312"/>
          <w:sz w:val="32"/>
          <w:szCs w:val="32"/>
        </w:rPr>
        <w:t>3KVA</w:t>
      </w:r>
      <w:r>
        <w:rPr>
          <w:rFonts w:hint="eastAsia" w:ascii="仿宋_GB2312" w:hAnsi="仿宋_GB2312" w:eastAsia="仿宋_GB2312" w:cs="仿宋_GB2312"/>
          <w:sz w:val="32"/>
          <w:szCs w:val="32"/>
        </w:rPr>
        <w:t>，后备时间：</w:t>
      </w:r>
      <w:r>
        <w:rPr>
          <w:rFonts w:ascii="Times New Roman" w:hAnsi="Times New Roman" w:eastAsia="仿宋_GB2312"/>
          <w:sz w:val="32"/>
          <w:szCs w:val="32"/>
        </w:rPr>
        <w:t>2</w:t>
      </w:r>
      <w:r>
        <w:rPr>
          <w:rFonts w:hint="eastAsia" w:ascii="仿宋_GB2312" w:hAnsi="仿宋_GB2312" w:eastAsia="仿宋_GB2312" w:cs="仿宋_GB2312"/>
          <w:sz w:val="32"/>
          <w:szCs w:val="32"/>
        </w:rPr>
        <w:t>小时，电池类型：输出电压：</w:t>
      </w:r>
      <w:r>
        <w:rPr>
          <w:rFonts w:ascii="Times New Roman" w:hAnsi="Times New Roman" w:eastAsia="仿宋_GB2312"/>
          <w:sz w:val="32"/>
          <w:szCs w:val="32"/>
        </w:rPr>
        <w:t>230V</w:t>
      </w:r>
      <w:r>
        <w:rPr>
          <w:rFonts w:hint="eastAsia" w:ascii="仿宋_GB2312" w:hAnsi="仿宋_GB2312" w:eastAsia="仿宋_GB2312" w:cs="仿宋_GB2312"/>
          <w:sz w:val="32"/>
          <w:szCs w:val="32"/>
        </w:rPr>
        <w:t>±</w:t>
      </w:r>
      <w:r>
        <w:rPr>
          <w:rFonts w:ascii="Times New Roman" w:hAnsi="Times New Roman" w:eastAsia="仿宋_GB2312"/>
          <w:sz w:val="32"/>
          <w:szCs w:val="32"/>
        </w:rPr>
        <w:t>5</w:t>
      </w:r>
      <w:r>
        <w:rPr>
          <w:rFonts w:hint="eastAsia" w:ascii="仿宋_GB2312" w:hAnsi="仿宋_GB2312" w:eastAsia="仿宋_GB2312" w:cs="仿宋_GB2312"/>
          <w:sz w:val="32"/>
          <w:szCs w:val="32"/>
        </w:rPr>
        <w:t>%</w:t>
      </w:r>
      <w:r>
        <w:rPr>
          <w:rFonts w:ascii="Times New Roman" w:hAnsi="Times New Roman" w:eastAsia="仿宋_GB2312"/>
          <w:sz w:val="32"/>
          <w:szCs w:val="32"/>
        </w:rPr>
        <w:t>V</w:t>
      </w:r>
      <w:r>
        <w:rPr>
          <w:rFonts w:hint="eastAsia" w:ascii="仿宋_GB2312" w:hAnsi="仿宋_GB2312" w:eastAsia="仿宋_GB2312" w:cs="仿宋_GB2312"/>
          <w:sz w:val="32"/>
          <w:szCs w:val="32"/>
        </w:rPr>
        <w:t>。</w:t>
      </w:r>
      <w:bookmarkEnd w:id="133"/>
      <w:bookmarkEnd w:id="134"/>
    </w:p>
    <w:p w14:paraId="1177AE09">
      <w:pPr>
        <w:spacing w:line="560" w:lineRule="exact"/>
        <w:ind w:firstLine="640" w:firstLineChars="200"/>
        <w:outlineLvl w:val="1"/>
        <w:rPr>
          <w:rFonts w:hint="eastAsia" w:ascii="楷体_GB2312" w:hAnsi="楷体_GB2312" w:eastAsia="楷体_GB2312" w:cs="楷体_GB2312"/>
          <w:bCs/>
          <w:sz w:val="32"/>
          <w:szCs w:val="32"/>
        </w:rPr>
      </w:pPr>
      <w:bookmarkStart w:id="135" w:name="_Toc30930"/>
      <w:bookmarkStart w:id="136" w:name="_Toc23360"/>
      <w:bookmarkStart w:id="137" w:name="_Toc13990"/>
      <w:bookmarkStart w:id="138" w:name="_Toc20193"/>
      <w:bookmarkStart w:id="139" w:name="_Toc2159"/>
      <w:bookmarkStart w:id="140" w:name="_Toc20068"/>
      <w:bookmarkStart w:id="141" w:name="_Toc141450659"/>
      <w:bookmarkStart w:id="142" w:name="_Toc29200"/>
      <w:bookmarkStart w:id="143" w:name="_Toc141450663"/>
      <w:r>
        <w:rPr>
          <w:rFonts w:hint="eastAsia" w:ascii="楷体_GB2312" w:hAnsi="楷体_GB2312" w:eastAsia="楷体_GB2312" w:cs="楷体_GB2312"/>
          <w:bCs/>
          <w:sz w:val="32"/>
          <w:szCs w:val="32"/>
        </w:rPr>
        <w:t>（二）裁判组分工</w:t>
      </w:r>
      <w:bookmarkEnd w:id="135"/>
      <w:bookmarkEnd w:id="136"/>
      <w:bookmarkEnd w:id="137"/>
      <w:bookmarkEnd w:id="138"/>
      <w:bookmarkEnd w:id="139"/>
      <w:bookmarkEnd w:id="140"/>
      <w:bookmarkEnd w:id="141"/>
    </w:p>
    <w:p w14:paraId="375C4A2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赛项设立裁判组，由专家组长（裁判长）、助理、现场裁判和评分裁判组成。专家组长（裁判长）负责组织裁判员培训、安排裁判员分工、开展技术点评；裁判长根据大赛经验、技术特点等条件对裁判员进行分组；现场裁判负责维持现场纪律、解决现场问题、汇总比赛数据等工作；评分裁判负责对参赛选手结果进行评分。</w:t>
      </w:r>
    </w:p>
    <w:p w14:paraId="6A9609C1">
      <w:pPr>
        <w:spacing w:line="560" w:lineRule="exact"/>
        <w:ind w:firstLine="640" w:firstLineChars="200"/>
        <w:outlineLvl w:val="1"/>
        <w:rPr>
          <w:rFonts w:hint="eastAsia" w:ascii="楷体_GB2312" w:hAnsi="楷体_GB2312" w:eastAsia="楷体_GB2312" w:cs="楷体_GB2312"/>
          <w:bCs/>
          <w:sz w:val="32"/>
          <w:szCs w:val="32"/>
        </w:rPr>
      </w:pPr>
      <w:bookmarkStart w:id="144" w:name="_Toc9330"/>
      <w:bookmarkStart w:id="145" w:name="_Toc12803"/>
      <w:bookmarkStart w:id="146" w:name="_Toc14428"/>
      <w:bookmarkStart w:id="147" w:name="_Toc14068"/>
      <w:bookmarkStart w:id="148" w:name="_Toc7503"/>
      <w:r>
        <w:rPr>
          <w:rFonts w:hint="eastAsia" w:ascii="楷体_GB2312" w:hAnsi="楷体_GB2312" w:eastAsia="楷体_GB2312" w:cs="楷体_GB2312"/>
          <w:bCs/>
          <w:sz w:val="32"/>
          <w:szCs w:val="32"/>
        </w:rPr>
        <w:t>（三）基础设施清单</w:t>
      </w:r>
      <w:bookmarkEnd w:id="144"/>
      <w:bookmarkEnd w:id="145"/>
      <w:bookmarkEnd w:id="146"/>
      <w:bookmarkEnd w:id="147"/>
      <w:bookmarkEnd w:id="148"/>
    </w:p>
    <w:p w14:paraId="19012734">
      <w:pPr>
        <w:pStyle w:val="15"/>
        <w:spacing w:line="560" w:lineRule="exact"/>
        <w:ind w:left="0" w:leftChars="0" w:firstLine="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互联网营销项目赛场提供设施设备清单表</w:t>
      </w:r>
    </w:p>
    <w:tbl>
      <w:tblPr>
        <w:tblStyle w:val="17"/>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095"/>
        <w:gridCol w:w="6491"/>
      </w:tblGrid>
      <w:tr w14:paraId="70F3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52" w:type="dxa"/>
            <w:vAlign w:val="center"/>
          </w:tcPr>
          <w:p w14:paraId="5C49B38E">
            <w:pPr>
              <w:pStyle w:val="26"/>
              <w:spacing w:line="360" w:lineRule="exact"/>
              <w:ind w:left="102"/>
              <w:jc w:val="center"/>
              <w:rPr>
                <w:rFonts w:hint="eastAsia" w:ascii="仿宋" w:hAnsi="仿宋" w:eastAsia="仿宋" w:cs="Times New Roman"/>
                <w:b/>
                <w:bCs/>
                <w:lang w:eastAsia="zh-CN"/>
              </w:rPr>
            </w:pPr>
            <w:r>
              <w:rPr>
                <w:rFonts w:hint="eastAsia" w:ascii="仿宋" w:hAnsi="仿宋" w:eastAsia="仿宋" w:cs="Times New Roman"/>
                <w:b/>
                <w:bCs/>
                <w:lang w:eastAsia="zh-CN"/>
              </w:rPr>
              <w:t>序号</w:t>
            </w:r>
          </w:p>
        </w:tc>
        <w:tc>
          <w:tcPr>
            <w:tcW w:w="1095" w:type="dxa"/>
            <w:vAlign w:val="center"/>
          </w:tcPr>
          <w:p w14:paraId="127A3B3C">
            <w:pPr>
              <w:pStyle w:val="26"/>
              <w:spacing w:line="360" w:lineRule="exact"/>
              <w:ind w:left="102"/>
              <w:jc w:val="center"/>
              <w:rPr>
                <w:rFonts w:hint="eastAsia" w:ascii="仿宋" w:hAnsi="仿宋" w:eastAsia="仿宋" w:cs="Times New Roman"/>
                <w:b/>
                <w:bCs/>
                <w:lang w:eastAsia="zh-CN"/>
              </w:rPr>
            </w:pPr>
            <w:r>
              <w:rPr>
                <w:rFonts w:hint="eastAsia" w:ascii="仿宋" w:hAnsi="仿宋" w:eastAsia="仿宋" w:cs="Times New Roman"/>
                <w:b/>
                <w:bCs/>
                <w:lang w:eastAsia="zh-CN"/>
              </w:rPr>
              <w:t>名称</w:t>
            </w:r>
          </w:p>
        </w:tc>
        <w:tc>
          <w:tcPr>
            <w:tcW w:w="6491" w:type="dxa"/>
            <w:vAlign w:val="center"/>
          </w:tcPr>
          <w:p w14:paraId="763F2ECE">
            <w:pPr>
              <w:pStyle w:val="26"/>
              <w:spacing w:line="360" w:lineRule="exact"/>
              <w:ind w:left="102"/>
              <w:jc w:val="center"/>
              <w:rPr>
                <w:rFonts w:hint="eastAsia" w:ascii="仿宋" w:hAnsi="仿宋" w:eastAsia="仿宋" w:cs="Times New Roman"/>
                <w:b/>
                <w:bCs/>
                <w:lang w:eastAsia="zh-CN"/>
              </w:rPr>
            </w:pPr>
            <w:r>
              <w:rPr>
                <w:rFonts w:hint="eastAsia" w:ascii="仿宋" w:hAnsi="仿宋" w:eastAsia="仿宋" w:cs="Times New Roman"/>
                <w:b/>
                <w:bCs/>
                <w:lang w:eastAsia="zh-CN"/>
              </w:rPr>
              <w:t>技术规格</w:t>
            </w:r>
          </w:p>
        </w:tc>
      </w:tr>
      <w:tr w14:paraId="32D9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4BCED09F">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1</w:t>
            </w:r>
          </w:p>
        </w:tc>
        <w:tc>
          <w:tcPr>
            <w:tcW w:w="1095" w:type="dxa"/>
            <w:vAlign w:val="center"/>
          </w:tcPr>
          <w:p w14:paraId="58265461">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竞赛服务器</w:t>
            </w:r>
          </w:p>
        </w:tc>
        <w:tc>
          <w:tcPr>
            <w:tcW w:w="6491" w:type="dxa"/>
            <w:vAlign w:val="center"/>
          </w:tcPr>
          <w:p w14:paraId="517FE74D">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 xml:space="preserve">英特尔至强 </w:t>
            </w:r>
            <w:r>
              <w:rPr>
                <w:rFonts w:ascii="Times New Roman" w:hAnsi="Times New Roman" w:eastAsia="仿宋" w:cs="Times New Roman"/>
                <w:lang w:eastAsia="zh-CN"/>
              </w:rPr>
              <w:t>E5</w:t>
            </w:r>
            <w:r>
              <w:rPr>
                <w:rFonts w:hint="eastAsia" w:ascii="仿宋" w:hAnsi="仿宋" w:eastAsia="仿宋" w:cs="Times New Roman"/>
                <w:lang w:eastAsia="zh-CN"/>
              </w:rPr>
              <w:t xml:space="preserve"> 系列 </w:t>
            </w:r>
            <w:r>
              <w:rPr>
                <w:rFonts w:ascii="Times New Roman" w:hAnsi="Times New Roman" w:eastAsia="仿宋" w:cs="Times New Roman"/>
                <w:lang w:eastAsia="zh-CN"/>
              </w:rPr>
              <w:t>E5</w:t>
            </w:r>
            <w:r>
              <w:rPr>
                <w:rFonts w:hint="eastAsia" w:ascii="仿宋" w:hAnsi="仿宋" w:eastAsia="仿宋" w:cs="Times New Roman"/>
                <w:lang w:eastAsia="zh-CN"/>
              </w:rPr>
              <w:t>-</w:t>
            </w:r>
            <w:r>
              <w:rPr>
                <w:rFonts w:ascii="Times New Roman" w:hAnsi="Times New Roman" w:eastAsia="仿宋" w:cs="Times New Roman"/>
                <w:lang w:eastAsia="zh-CN"/>
              </w:rPr>
              <w:t>2683</w:t>
            </w:r>
            <w:r>
              <w:rPr>
                <w:rFonts w:hint="eastAsia" w:ascii="仿宋" w:hAnsi="仿宋" w:eastAsia="仿宋" w:cs="Times New Roman"/>
                <w:lang w:eastAsia="zh-CN"/>
              </w:rPr>
              <w:t xml:space="preserve"> </w:t>
            </w:r>
            <w:r>
              <w:rPr>
                <w:rFonts w:ascii="Times New Roman" w:hAnsi="Times New Roman" w:eastAsia="仿宋" w:cs="Times New Roman"/>
                <w:lang w:eastAsia="zh-CN"/>
              </w:rPr>
              <w:t>v4</w:t>
            </w:r>
            <w:r>
              <w:rPr>
                <w:rFonts w:hint="eastAsia" w:ascii="仿宋" w:hAnsi="仿宋" w:eastAsia="仿宋" w:cs="Times New Roman"/>
                <w:lang w:eastAsia="zh-CN"/>
              </w:rPr>
              <w:t xml:space="preserve"> 十六核以上 </w:t>
            </w:r>
            <w:r>
              <w:rPr>
                <w:rFonts w:ascii="Times New Roman" w:hAnsi="Times New Roman" w:eastAsia="仿宋" w:cs="Times New Roman"/>
                <w:lang w:eastAsia="zh-CN"/>
              </w:rPr>
              <w:t>CPU</w:t>
            </w:r>
            <w:r>
              <w:rPr>
                <w:rFonts w:hint="eastAsia" w:ascii="仿宋" w:hAnsi="仿宋" w:eastAsia="仿宋" w:cs="Times New Roman"/>
                <w:lang w:eastAsia="zh-CN"/>
              </w:rPr>
              <w:t>；</w:t>
            </w:r>
            <w:r>
              <w:rPr>
                <w:rFonts w:ascii="Times New Roman" w:hAnsi="Times New Roman" w:eastAsia="仿宋" w:cs="Times New Roman"/>
                <w:lang w:eastAsia="zh-CN"/>
              </w:rPr>
              <w:t>32GB</w:t>
            </w:r>
            <w:r>
              <w:rPr>
                <w:rFonts w:hint="eastAsia" w:ascii="仿宋" w:hAnsi="仿宋" w:eastAsia="仿宋" w:cs="Times New Roman"/>
                <w:lang w:eastAsia="zh-CN"/>
              </w:rPr>
              <w:t xml:space="preserve"> 以上内存；硬盘：</w:t>
            </w:r>
            <w:r>
              <w:rPr>
                <w:rFonts w:ascii="Times New Roman" w:hAnsi="Times New Roman" w:eastAsia="仿宋" w:cs="Times New Roman"/>
                <w:lang w:eastAsia="zh-CN"/>
              </w:rPr>
              <w:t>500G</w:t>
            </w:r>
            <w:r>
              <w:rPr>
                <w:rFonts w:hint="eastAsia" w:ascii="仿宋" w:hAnsi="仿宋" w:eastAsia="仿宋" w:cs="Times New Roman"/>
                <w:lang w:eastAsia="zh-CN"/>
              </w:rPr>
              <w:t xml:space="preserve"> 以上、转速：</w:t>
            </w:r>
            <w:r>
              <w:rPr>
                <w:rFonts w:ascii="Times New Roman" w:hAnsi="Times New Roman" w:eastAsia="仿宋" w:cs="Times New Roman"/>
                <w:lang w:eastAsia="zh-CN"/>
              </w:rPr>
              <w:t>10000</w:t>
            </w:r>
            <w:r>
              <w:rPr>
                <w:rFonts w:hint="eastAsia" w:ascii="仿宋" w:hAnsi="仿宋" w:eastAsia="仿宋" w:cs="Times New Roman"/>
                <w:lang w:eastAsia="zh-CN"/>
              </w:rPr>
              <w:t xml:space="preserve"> </w:t>
            </w:r>
            <w:r>
              <w:rPr>
                <w:rFonts w:ascii="Times New Roman" w:hAnsi="Times New Roman" w:eastAsia="仿宋" w:cs="Times New Roman"/>
                <w:lang w:eastAsia="zh-CN"/>
              </w:rPr>
              <w:t>RPM</w:t>
            </w:r>
            <w:r>
              <w:rPr>
                <w:rFonts w:hint="eastAsia" w:ascii="仿宋" w:hAnsi="仿宋" w:eastAsia="仿宋" w:cs="Times New Roman"/>
                <w:lang w:eastAsia="zh-CN"/>
              </w:rPr>
              <w:t xml:space="preserve">或固态 </w:t>
            </w:r>
            <w:r>
              <w:rPr>
                <w:rFonts w:ascii="Times New Roman" w:hAnsi="Times New Roman" w:eastAsia="仿宋" w:cs="Times New Roman"/>
                <w:lang w:eastAsia="zh-CN"/>
              </w:rPr>
              <w:t>P4510</w:t>
            </w:r>
            <w:r>
              <w:rPr>
                <w:rFonts w:hint="eastAsia" w:ascii="仿宋" w:hAnsi="仿宋" w:eastAsia="仿宋" w:cs="Times New Roman"/>
                <w:lang w:eastAsia="zh-CN"/>
              </w:rPr>
              <w:t xml:space="preserve">；预装 </w:t>
            </w:r>
            <w:r>
              <w:rPr>
                <w:rFonts w:ascii="Times New Roman" w:hAnsi="Times New Roman" w:eastAsia="仿宋" w:cs="Times New Roman"/>
                <w:lang w:eastAsia="zh-CN"/>
              </w:rPr>
              <w:t>Windows</w:t>
            </w:r>
            <w:r>
              <w:rPr>
                <w:rFonts w:hint="eastAsia" w:ascii="仿宋" w:hAnsi="仿宋" w:eastAsia="仿宋" w:cs="Times New Roman"/>
                <w:lang w:eastAsia="zh-CN"/>
              </w:rPr>
              <w:t xml:space="preserve"> </w:t>
            </w:r>
            <w:r>
              <w:rPr>
                <w:rFonts w:ascii="Times New Roman" w:hAnsi="Times New Roman" w:eastAsia="仿宋" w:cs="Times New Roman"/>
                <w:lang w:eastAsia="zh-CN"/>
              </w:rPr>
              <w:t>Server</w:t>
            </w:r>
            <w:r>
              <w:rPr>
                <w:rFonts w:hint="eastAsia" w:ascii="仿宋" w:hAnsi="仿宋" w:eastAsia="仿宋" w:cs="Times New Roman"/>
                <w:lang w:eastAsia="zh-CN"/>
              </w:rPr>
              <w:t xml:space="preserve"> </w:t>
            </w:r>
            <w:r>
              <w:rPr>
                <w:rFonts w:ascii="Times New Roman" w:hAnsi="Times New Roman" w:eastAsia="仿宋" w:cs="Times New Roman"/>
                <w:lang w:eastAsia="zh-CN"/>
              </w:rPr>
              <w:t>2008</w:t>
            </w:r>
            <w:r>
              <w:rPr>
                <w:rFonts w:hint="eastAsia" w:ascii="仿宋" w:hAnsi="仿宋" w:eastAsia="仿宋" w:cs="Times New Roman"/>
                <w:lang w:eastAsia="zh-CN"/>
              </w:rPr>
              <w:t xml:space="preserve"> </w:t>
            </w:r>
            <w:r>
              <w:rPr>
                <w:rFonts w:ascii="Times New Roman" w:hAnsi="Times New Roman" w:eastAsia="仿宋" w:cs="Times New Roman"/>
                <w:lang w:eastAsia="zh-CN"/>
              </w:rPr>
              <w:t>R2</w:t>
            </w:r>
            <w:r>
              <w:rPr>
                <w:rFonts w:hint="eastAsia" w:ascii="仿宋" w:hAnsi="仿宋" w:eastAsia="仿宋" w:cs="Times New Roman"/>
                <w:lang w:eastAsia="zh-CN"/>
              </w:rPr>
              <w:t xml:space="preserve"> 操作系统及 </w:t>
            </w:r>
            <w:r>
              <w:rPr>
                <w:rFonts w:ascii="Times New Roman" w:hAnsi="Times New Roman" w:eastAsia="仿宋" w:cs="Times New Roman"/>
                <w:lang w:eastAsia="zh-CN"/>
              </w:rPr>
              <w:t>IIS</w:t>
            </w:r>
            <w:r>
              <w:rPr>
                <w:rFonts w:hint="eastAsia" w:ascii="仿宋" w:hAnsi="仿宋" w:eastAsia="仿宋" w:cs="Times New Roman"/>
                <w:lang w:eastAsia="zh-CN"/>
              </w:rPr>
              <w:t xml:space="preserve"> </w:t>
            </w:r>
            <w:r>
              <w:rPr>
                <w:rFonts w:ascii="Times New Roman" w:hAnsi="Times New Roman" w:eastAsia="仿宋" w:cs="Times New Roman"/>
                <w:lang w:eastAsia="zh-CN"/>
              </w:rPr>
              <w:t>7</w:t>
            </w:r>
            <w:r>
              <w:rPr>
                <w:rFonts w:hint="eastAsia" w:ascii="仿宋" w:hAnsi="仿宋" w:eastAsia="仿宋" w:cs="Times New Roman"/>
                <w:lang w:eastAsia="zh-CN"/>
              </w:rPr>
              <w:t>.</w:t>
            </w:r>
            <w:r>
              <w:rPr>
                <w:rFonts w:ascii="Times New Roman" w:hAnsi="Times New Roman" w:eastAsia="仿宋" w:cs="Times New Roman"/>
                <w:lang w:eastAsia="zh-CN"/>
              </w:rPr>
              <w:t>5</w:t>
            </w:r>
            <w:r>
              <w:rPr>
                <w:rFonts w:hint="eastAsia" w:ascii="仿宋" w:hAnsi="仿宋" w:eastAsia="仿宋" w:cs="Times New Roman"/>
                <w:lang w:eastAsia="zh-CN"/>
              </w:rPr>
              <w:t>；千兆网卡。</w:t>
            </w:r>
          </w:p>
        </w:tc>
      </w:tr>
      <w:tr w14:paraId="3B425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852" w:type="dxa"/>
            <w:vAlign w:val="center"/>
          </w:tcPr>
          <w:p w14:paraId="5799FD3F">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2</w:t>
            </w:r>
          </w:p>
        </w:tc>
        <w:tc>
          <w:tcPr>
            <w:tcW w:w="1095" w:type="dxa"/>
            <w:vAlign w:val="center"/>
          </w:tcPr>
          <w:p w14:paraId="49954F99">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AP</w:t>
            </w:r>
          </w:p>
        </w:tc>
        <w:tc>
          <w:tcPr>
            <w:tcW w:w="6491" w:type="dxa"/>
            <w:vAlign w:val="center"/>
          </w:tcPr>
          <w:p w14:paraId="001B8823">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 xml:space="preserve">华为 </w:t>
            </w:r>
            <w:r>
              <w:rPr>
                <w:rFonts w:ascii="Times New Roman" w:hAnsi="Times New Roman" w:eastAsia="仿宋" w:cs="Times New Roman"/>
                <w:lang w:eastAsia="zh-CN"/>
              </w:rPr>
              <w:t>AP4050DN</w:t>
            </w:r>
            <w:r>
              <w:rPr>
                <w:rFonts w:hint="eastAsia" w:ascii="仿宋" w:hAnsi="仿宋" w:eastAsia="仿宋" w:cs="Times New Roman"/>
                <w:lang w:eastAsia="zh-CN"/>
              </w:rPr>
              <w:t>-</w:t>
            </w:r>
            <w:r>
              <w:rPr>
                <w:rFonts w:ascii="Times New Roman" w:hAnsi="Times New Roman" w:eastAsia="仿宋" w:cs="Times New Roman"/>
                <w:lang w:eastAsia="zh-CN"/>
              </w:rPr>
              <w:t>S</w:t>
            </w:r>
          </w:p>
        </w:tc>
      </w:tr>
      <w:tr w14:paraId="3C07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7BB319A9">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3</w:t>
            </w:r>
          </w:p>
        </w:tc>
        <w:tc>
          <w:tcPr>
            <w:tcW w:w="1095" w:type="dxa"/>
            <w:vAlign w:val="center"/>
          </w:tcPr>
          <w:p w14:paraId="20EC6334">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竞赛计算机</w:t>
            </w:r>
          </w:p>
        </w:tc>
        <w:tc>
          <w:tcPr>
            <w:tcW w:w="6491" w:type="dxa"/>
            <w:vAlign w:val="center"/>
          </w:tcPr>
          <w:p w14:paraId="27A690A4">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 xml:space="preserve">酷睿 </w:t>
            </w:r>
            <w:r>
              <w:rPr>
                <w:rFonts w:ascii="Times New Roman" w:hAnsi="Times New Roman" w:eastAsia="仿宋" w:cs="Times New Roman"/>
                <w:lang w:eastAsia="zh-CN"/>
              </w:rPr>
              <w:t>I5</w:t>
            </w:r>
            <w:r>
              <w:rPr>
                <w:rFonts w:hint="eastAsia" w:ascii="仿宋" w:hAnsi="仿宋" w:eastAsia="仿宋" w:cs="Times New Roman"/>
                <w:lang w:eastAsia="zh-CN"/>
              </w:rPr>
              <w:t xml:space="preserve"> 双核 </w:t>
            </w:r>
            <w:r>
              <w:rPr>
                <w:rFonts w:ascii="Times New Roman" w:hAnsi="Times New Roman" w:eastAsia="仿宋" w:cs="Times New Roman"/>
                <w:lang w:eastAsia="zh-CN"/>
              </w:rPr>
              <w:t>3</w:t>
            </w:r>
            <w:r>
              <w:rPr>
                <w:rFonts w:hint="eastAsia" w:ascii="仿宋" w:hAnsi="仿宋" w:eastAsia="仿宋" w:cs="Times New Roman"/>
                <w:lang w:eastAsia="zh-CN"/>
              </w:rPr>
              <w:t>.</w:t>
            </w:r>
            <w:r>
              <w:rPr>
                <w:rFonts w:ascii="Times New Roman" w:hAnsi="Times New Roman" w:eastAsia="仿宋" w:cs="Times New Roman"/>
                <w:lang w:eastAsia="zh-CN"/>
              </w:rPr>
              <w:t>0</w:t>
            </w:r>
            <w:r>
              <w:rPr>
                <w:rFonts w:hint="eastAsia" w:ascii="仿宋" w:hAnsi="仿宋" w:eastAsia="仿宋" w:cs="Times New Roman"/>
                <w:lang w:eastAsia="zh-CN"/>
              </w:rPr>
              <w:t xml:space="preserve"> 以上 </w:t>
            </w:r>
            <w:r>
              <w:rPr>
                <w:rFonts w:ascii="Times New Roman" w:hAnsi="Times New Roman" w:eastAsia="仿宋" w:cs="Times New Roman"/>
                <w:lang w:eastAsia="zh-CN"/>
              </w:rPr>
              <w:t>CPU</w:t>
            </w:r>
            <w:r>
              <w:rPr>
                <w:rFonts w:hint="eastAsia" w:ascii="仿宋" w:hAnsi="仿宋" w:eastAsia="仿宋" w:cs="Times New Roman"/>
                <w:lang w:eastAsia="zh-CN"/>
              </w:rPr>
              <w:t>；</w:t>
            </w:r>
            <w:r>
              <w:rPr>
                <w:rFonts w:ascii="Times New Roman" w:hAnsi="Times New Roman" w:eastAsia="仿宋" w:cs="Times New Roman"/>
                <w:lang w:eastAsia="zh-CN"/>
              </w:rPr>
              <w:t>4G</w:t>
            </w:r>
            <w:r>
              <w:rPr>
                <w:rFonts w:hint="eastAsia" w:ascii="仿宋" w:hAnsi="仿宋" w:eastAsia="仿宋" w:cs="Times New Roman"/>
                <w:lang w:eastAsia="zh-CN"/>
              </w:rPr>
              <w:t xml:space="preserve"> 以上内存；</w:t>
            </w:r>
            <w:r>
              <w:rPr>
                <w:rFonts w:ascii="Times New Roman" w:hAnsi="Times New Roman" w:eastAsia="仿宋" w:cs="Times New Roman"/>
                <w:lang w:eastAsia="zh-CN"/>
              </w:rPr>
              <w:t>100G</w:t>
            </w:r>
            <w:r>
              <w:rPr>
                <w:rFonts w:hint="eastAsia" w:ascii="仿宋" w:hAnsi="仿宋" w:eastAsia="仿宋" w:cs="Times New Roman"/>
                <w:lang w:eastAsia="zh-CN"/>
              </w:rPr>
              <w:t xml:space="preserve"> 以上硬盘；千兆网卡。预装</w:t>
            </w:r>
            <w:r>
              <w:rPr>
                <w:rFonts w:ascii="Times New Roman" w:hAnsi="Times New Roman" w:eastAsia="仿宋" w:cs="Times New Roman"/>
                <w:lang w:eastAsia="zh-CN"/>
              </w:rPr>
              <w:t>Windows7</w:t>
            </w:r>
            <w:r>
              <w:rPr>
                <w:rFonts w:hint="eastAsia" w:ascii="仿宋" w:hAnsi="仿宋" w:eastAsia="仿宋" w:cs="Times New Roman"/>
                <w:lang w:eastAsia="zh-CN"/>
              </w:rPr>
              <w:t>及以上操作系统；预装火狐浏览器、谷歌浏览器；预装录屏软件；预装全拼、简拼、微软拼音等中文输入法和英文输入法；</w:t>
            </w:r>
          </w:p>
        </w:tc>
      </w:tr>
      <w:tr w14:paraId="65F2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0F6DA9E2">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4</w:t>
            </w:r>
          </w:p>
        </w:tc>
        <w:tc>
          <w:tcPr>
            <w:tcW w:w="1095" w:type="dxa"/>
            <w:vAlign w:val="center"/>
          </w:tcPr>
          <w:p w14:paraId="7D1B003D">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裁判计算机</w:t>
            </w:r>
          </w:p>
        </w:tc>
        <w:tc>
          <w:tcPr>
            <w:tcW w:w="6491" w:type="dxa"/>
            <w:vAlign w:val="center"/>
          </w:tcPr>
          <w:p w14:paraId="0FE52CC2">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 xml:space="preserve">酷睿 </w:t>
            </w:r>
            <w:r>
              <w:rPr>
                <w:rFonts w:ascii="Times New Roman" w:hAnsi="Times New Roman" w:eastAsia="仿宋" w:cs="Times New Roman"/>
                <w:lang w:eastAsia="zh-CN"/>
              </w:rPr>
              <w:t>I5</w:t>
            </w:r>
            <w:r>
              <w:rPr>
                <w:rFonts w:hint="eastAsia" w:ascii="仿宋" w:hAnsi="仿宋" w:eastAsia="仿宋" w:cs="Times New Roman"/>
                <w:lang w:eastAsia="zh-CN"/>
              </w:rPr>
              <w:t xml:space="preserve"> 双核 </w:t>
            </w:r>
            <w:r>
              <w:rPr>
                <w:rFonts w:ascii="Times New Roman" w:hAnsi="Times New Roman" w:eastAsia="仿宋" w:cs="Times New Roman"/>
                <w:lang w:eastAsia="zh-CN"/>
              </w:rPr>
              <w:t>3</w:t>
            </w:r>
            <w:r>
              <w:rPr>
                <w:rFonts w:hint="eastAsia" w:ascii="仿宋" w:hAnsi="仿宋" w:eastAsia="仿宋" w:cs="Times New Roman"/>
                <w:lang w:eastAsia="zh-CN"/>
              </w:rPr>
              <w:t>.</w:t>
            </w:r>
            <w:r>
              <w:rPr>
                <w:rFonts w:ascii="Times New Roman" w:hAnsi="Times New Roman" w:eastAsia="仿宋" w:cs="Times New Roman"/>
                <w:lang w:eastAsia="zh-CN"/>
              </w:rPr>
              <w:t>0</w:t>
            </w:r>
            <w:r>
              <w:rPr>
                <w:rFonts w:hint="eastAsia" w:ascii="仿宋" w:hAnsi="仿宋" w:eastAsia="仿宋" w:cs="Times New Roman"/>
                <w:lang w:eastAsia="zh-CN"/>
              </w:rPr>
              <w:t xml:space="preserve"> 以上 </w:t>
            </w:r>
            <w:r>
              <w:rPr>
                <w:rFonts w:ascii="Times New Roman" w:hAnsi="Times New Roman" w:eastAsia="仿宋" w:cs="Times New Roman"/>
                <w:lang w:eastAsia="zh-CN"/>
              </w:rPr>
              <w:t>CPU</w:t>
            </w:r>
            <w:r>
              <w:rPr>
                <w:rFonts w:hint="eastAsia" w:ascii="仿宋" w:hAnsi="仿宋" w:eastAsia="仿宋" w:cs="Times New Roman"/>
                <w:lang w:eastAsia="zh-CN"/>
              </w:rPr>
              <w:t>；</w:t>
            </w:r>
            <w:r>
              <w:rPr>
                <w:rFonts w:ascii="Times New Roman" w:hAnsi="Times New Roman" w:eastAsia="仿宋" w:cs="Times New Roman"/>
                <w:lang w:eastAsia="zh-CN"/>
              </w:rPr>
              <w:t>8G</w:t>
            </w:r>
            <w:r>
              <w:rPr>
                <w:rFonts w:hint="eastAsia" w:ascii="仿宋" w:hAnsi="仿宋" w:eastAsia="仿宋" w:cs="Times New Roman"/>
                <w:lang w:eastAsia="zh-CN"/>
              </w:rPr>
              <w:t xml:space="preserve"> 以上内存；</w:t>
            </w:r>
            <w:r>
              <w:rPr>
                <w:rFonts w:ascii="Times New Roman" w:hAnsi="Times New Roman" w:eastAsia="仿宋" w:cs="Times New Roman"/>
                <w:lang w:eastAsia="zh-CN"/>
              </w:rPr>
              <w:t>100G</w:t>
            </w:r>
            <w:r>
              <w:rPr>
                <w:rFonts w:hint="eastAsia" w:ascii="仿宋" w:hAnsi="仿宋" w:eastAsia="仿宋" w:cs="Times New Roman"/>
                <w:lang w:eastAsia="zh-CN"/>
              </w:rPr>
              <w:t xml:space="preserve"> 以上硬盘； </w:t>
            </w:r>
            <w:r>
              <w:rPr>
                <w:rFonts w:ascii="Times New Roman" w:hAnsi="Times New Roman" w:eastAsia="仿宋" w:cs="Times New Roman"/>
                <w:lang w:eastAsia="zh-CN"/>
              </w:rPr>
              <w:t>2G</w:t>
            </w:r>
            <w:r>
              <w:rPr>
                <w:rFonts w:hint="eastAsia" w:ascii="仿宋" w:hAnsi="仿宋" w:eastAsia="仿宋" w:cs="Times New Roman"/>
                <w:lang w:eastAsia="zh-CN"/>
              </w:rPr>
              <w:t xml:space="preserve"> 显存以上独立显卡，千兆网卡。预装 </w:t>
            </w:r>
            <w:r>
              <w:rPr>
                <w:rFonts w:ascii="Times New Roman" w:hAnsi="Times New Roman" w:eastAsia="仿宋" w:cs="Times New Roman"/>
                <w:lang w:eastAsia="zh-CN"/>
              </w:rPr>
              <w:t>Windows7</w:t>
            </w:r>
            <w:r>
              <w:rPr>
                <w:rFonts w:hint="eastAsia" w:ascii="仿宋" w:hAnsi="仿宋" w:eastAsia="仿宋" w:cs="Times New Roman"/>
                <w:lang w:eastAsia="zh-CN"/>
              </w:rPr>
              <w:t xml:space="preserve"> 及以上操作系统；预装火狐浏览器、谷歌浏览器；预装录屏软件；预装全拼、简拼、微软拼音等中文输入法和英文输入法；</w:t>
            </w:r>
          </w:p>
        </w:tc>
      </w:tr>
      <w:tr w14:paraId="62C7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2DCAF685">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5</w:t>
            </w:r>
          </w:p>
        </w:tc>
        <w:tc>
          <w:tcPr>
            <w:tcW w:w="1095" w:type="dxa"/>
            <w:vAlign w:val="center"/>
          </w:tcPr>
          <w:p w14:paraId="5E601A04">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主控计算机</w:t>
            </w:r>
          </w:p>
        </w:tc>
        <w:tc>
          <w:tcPr>
            <w:tcW w:w="6491" w:type="dxa"/>
            <w:vAlign w:val="center"/>
          </w:tcPr>
          <w:p w14:paraId="27D2F328">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 xml:space="preserve">酷睿 </w:t>
            </w:r>
            <w:r>
              <w:rPr>
                <w:rFonts w:ascii="Times New Roman" w:hAnsi="Times New Roman" w:eastAsia="仿宋" w:cs="Times New Roman"/>
                <w:lang w:eastAsia="zh-CN"/>
              </w:rPr>
              <w:t>I5</w:t>
            </w:r>
            <w:r>
              <w:rPr>
                <w:rFonts w:hint="eastAsia" w:ascii="仿宋" w:hAnsi="仿宋" w:eastAsia="仿宋" w:cs="Times New Roman"/>
                <w:lang w:eastAsia="zh-CN"/>
              </w:rPr>
              <w:t xml:space="preserve"> 双核 </w:t>
            </w:r>
            <w:r>
              <w:rPr>
                <w:rFonts w:ascii="Times New Roman" w:hAnsi="Times New Roman" w:eastAsia="仿宋" w:cs="Times New Roman"/>
                <w:lang w:eastAsia="zh-CN"/>
              </w:rPr>
              <w:t>3</w:t>
            </w:r>
            <w:r>
              <w:rPr>
                <w:rFonts w:hint="eastAsia" w:ascii="仿宋" w:hAnsi="仿宋" w:eastAsia="仿宋" w:cs="Times New Roman"/>
                <w:lang w:eastAsia="zh-CN"/>
              </w:rPr>
              <w:t>.</w:t>
            </w:r>
            <w:r>
              <w:rPr>
                <w:rFonts w:ascii="Times New Roman" w:hAnsi="Times New Roman" w:eastAsia="仿宋" w:cs="Times New Roman"/>
                <w:lang w:eastAsia="zh-CN"/>
              </w:rPr>
              <w:t>0</w:t>
            </w:r>
            <w:r>
              <w:rPr>
                <w:rFonts w:hint="eastAsia" w:ascii="仿宋" w:hAnsi="仿宋" w:eastAsia="仿宋" w:cs="Times New Roman"/>
                <w:lang w:eastAsia="zh-CN"/>
              </w:rPr>
              <w:t xml:space="preserve"> 以上 </w:t>
            </w:r>
            <w:r>
              <w:rPr>
                <w:rFonts w:ascii="Times New Roman" w:hAnsi="Times New Roman" w:eastAsia="仿宋" w:cs="Times New Roman"/>
                <w:lang w:eastAsia="zh-CN"/>
              </w:rPr>
              <w:t>CPU</w:t>
            </w:r>
            <w:r>
              <w:rPr>
                <w:rFonts w:hint="eastAsia" w:ascii="仿宋" w:hAnsi="仿宋" w:eastAsia="仿宋" w:cs="Times New Roman"/>
                <w:lang w:eastAsia="zh-CN"/>
              </w:rPr>
              <w:t>；</w:t>
            </w:r>
            <w:r>
              <w:rPr>
                <w:rFonts w:ascii="Times New Roman" w:hAnsi="Times New Roman" w:eastAsia="仿宋" w:cs="Times New Roman"/>
                <w:lang w:eastAsia="zh-CN"/>
              </w:rPr>
              <w:t>8G</w:t>
            </w:r>
            <w:r>
              <w:rPr>
                <w:rFonts w:hint="eastAsia" w:ascii="仿宋" w:hAnsi="仿宋" w:eastAsia="仿宋" w:cs="Times New Roman"/>
                <w:lang w:eastAsia="zh-CN"/>
              </w:rPr>
              <w:t xml:space="preserve"> 以上内存；</w:t>
            </w:r>
            <w:r>
              <w:rPr>
                <w:rFonts w:ascii="Times New Roman" w:hAnsi="Times New Roman" w:eastAsia="仿宋" w:cs="Times New Roman"/>
                <w:lang w:eastAsia="zh-CN"/>
              </w:rPr>
              <w:t>100G</w:t>
            </w:r>
            <w:r>
              <w:rPr>
                <w:rFonts w:hint="eastAsia" w:ascii="仿宋" w:hAnsi="仿宋" w:eastAsia="仿宋" w:cs="Times New Roman"/>
                <w:lang w:eastAsia="zh-CN"/>
              </w:rPr>
              <w:t xml:space="preserve"> 以上硬盘； </w:t>
            </w:r>
            <w:r>
              <w:rPr>
                <w:rFonts w:ascii="Times New Roman" w:hAnsi="Times New Roman" w:eastAsia="仿宋" w:cs="Times New Roman"/>
                <w:lang w:eastAsia="zh-CN"/>
              </w:rPr>
              <w:t>2G</w:t>
            </w:r>
            <w:r>
              <w:rPr>
                <w:rFonts w:hint="eastAsia" w:ascii="仿宋" w:hAnsi="仿宋" w:eastAsia="仿宋" w:cs="Times New Roman"/>
                <w:lang w:eastAsia="zh-CN"/>
              </w:rPr>
              <w:t xml:space="preserve"> 显存以上独立显卡，千兆网卡。预装 </w:t>
            </w:r>
            <w:r>
              <w:rPr>
                <w:rFonts w:ascii="Times New Roman" w:hAnsi="Times New Roman" w:eastAsia="仿宋" w:cs="Times New Roman"/>
                <w:lang w:eastAsia="zh-CN"/>
              </w:rPr>
              <w:t>Windows7</w:t>
            </w:r>
            <w:r>
              <w:rPr>
                <w:rFonts w:hint="eastAsia" w:ascii="仿宋" w:hAnsi="仿宋" w:eastAsia="仿宋" w:cs="Times New Roman"/>
                <w:lang w:eastAsia="zh-CN"/>
              </w:rPr>
              <w:t>及以上操作系统；预装火狐浏览器、谷歌浏览器；预装录屏软件；预装全拼、简拼、微软拼音等中文输入法和英文输入法；</w:t>
            </w:r>
          </w:p>
        </w:tc>
      </w:tr>
      <w:tr w14:paraId="51DD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088A7989">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6</w:t>
            </w:r>
          </w:p>
        </w:tc>
        <w:tc>
          <w:tcPr>
            <w:tcW w:w="1095" w:type="dxa"/>
            <w:vAlign w:val="center"/>
          </w:tcPr>
          <w:p w14:paraId="43654394">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裁判长计算机</w:t>
            </w:r>
          </w:p>
        </w:tc>
        <w:tc>
          <w:tcPr>
            <w:tcW w:w="6491" w:type="dxa"/>
            <w:vAlign w:val="center"/>
          </w:tcPr>
          <w:p w14:paraId="1EDE5132">
            <w:pPr>
              <w:pStyle w:val="26"/>
              <w:spacing w:line="320" w:lineRule="exact"/>
              <w:ind w:left="102"/>
              <w:rPr>
                <w:rFonts w:hint="eastAsia" w:ascii="仿宋" w:hAnsi="仿宋" w:eastAsia="仿宋" w:cs="Times New Roman"/>
                <w:lang w:eastAsia="zh-CN"/>
              </w:rPr>
            </w:pPr>
            <w:r>
              <w:rPr>
                <w:rFonts w:hint="eastAsia" w:ascii="仿宋" w:hAnsi="仿宋" w:eastAsia="仿宋" w:cs="Times New Roman"/>
                <w:lang w:eastAsia="zh-CN"/>
              </w:rPr>
              <w:t xml:space="preserve">酷睿 </w:t>
            </w:r>
            <w:r>
              <w:rPr>
                <w:rFonts w:ascii="Times New Roman" w:hAnsi="Times New Roman" w:eastAsia="仿宋" w:cs="Times New Roman"/>
                <w:lang w:eastAsia="zh-CN"/>
              </w:rPr>
              <w:t>I5</w:t>
            </w:r>
            <w:r>
              <w:rPr>
                <w:rFonts w:hint="eastAsia" w:ascii="仿宋" w:hAnsi="仿宋" w:eastAsia="仿宋" w:cs="Times New Roman"/>
                <w:lang w:eastAsia="zh-CN"/>
              </w:rPr>
              <w:t xml:space="preserve"> 双核 </w:t>
            </w:r>
            <w:r>
              <w:rPr>
                <w:rFonts w:ascii="Times New Roman" w:hAnsi="Times New Roman" w:eastAsia="仿宋" w:cs="Times New Roman"/>
                <w:lang w:eastAsia="zh-CN"/>
              </w:rPr>
              <w:t>3</w:t>
            </w:r>
            <w:r>
              <w:rPr>
                <w:rFonts w:hint="eastAsia" w:ascii="仿宋" w:hAnsi="仿宋" w:eastAsia="仿宋" w:cs="Times New Roman"/>
                <w:lang w:eastAsia="zh-CN"/>
              </w:rPr>
              <w:t>.</w:t>
            </w:r>
            <w:r>
              <w:rPr>
                <w:rFonts w:ascii="Times New Roman" w:hAnsi="Times New Roman" w:eastAsia="仿宋" w:cs="Times New Roman"/>
                <w:lang w:eastAsia="zh-CN"/>
              </w:rPr>
              <w:t>0</w:t>
            </w:r>
            <w:r>
              <w:rPr>
                <w:rFonts w:hint="eastAsia" w:ascii="仿宋" w:hAnsi="仿宋" w:eastAsia="仿宋" w:cs="Times New Roman"/>
                <w:lang w:eastAsia="zh-CN"/>
              </w:rPr>
              <w:t xml:space="preserve"> 以上 </w:t>
            </w:r>
            <w:r>
              <w:rPr>
                <w:rFonts w:ascii="Times New Roman" w:hAnsi="Times New Roman" w:eastAsia="仿宋" w:cs="Times New Roman"/>
                <w:lang w:eastAsia="zh-CN"/>
              </w:rPr>
              <w:t>CPU</w:t>
            </w:r>
            <w:r>
              <w:rPr>
                <w:rFonts w:hint="eastAsia" w:ascii="仿宋" w:hAnsi="仿宋" w:eastAsia="仿宋" w:cs="Times New Roman"/>
                <w:lang w:eastAsia="zh-CN"/>
              </w:rPr>
              <w:t>；</w:t>
            </w:r>
            <w:r>
              <w:rPr>
                <w:rFonts w:ascii="Times New Roman" w:hAnsi="Times New Roman" w:eastAsia="仿宋" w:cs="Times New Roman"/>
                <w:lang w:eastAsia="zh-CN"/>
              </w:rPr>
              <w:t>8G</w:t>
            </w:r>
            <w:r>
              <w:rPr>
                <w:rFonts w:hint="eastAsia" w:ascii="仿宋" w:hAnsi="仿宋" w:eastAsia="仿宋" w:cs="Times New Roman"/>
                <w:lang w:eastAsia="zh-CN"/>
              </w:rPr>
              <w:t xml:space="preserve"> 以上内存；</w:t>
            </w:r>
            <w:r>
              <w:rPr>
                <w:rFonts w:ascii="Times New Roman" w:hAnsi="Times New Roman" w:eastAsia="仿宋" w:cs="Times New Roman"/>
                <w:lang w:eastAsia="zh-CN"/>
              </w:rPr>
              <w:t>100G</w:t>
            </w:r>
            <w:r>
              <w:rPr>
                <w:rFonts w:hint="eastAsia" w:ascii="仿宋" w:hAnsi="仿宋" w:eastAsia="仿宋" w:cs="Times New Roman"/>
                <w:lang w:eastAsia="zh-CN"/>
              </w:rPr>
              <w:t xml:space="preserve"> 以上硬盘； </w:t>
            </w:r>
            <w:r>
              <w:rPr>
                <w:rFonts w:ascii="Times New Roman" w:hAnsi="Times New Roman" w:eastAsia="仿宋" w:cs="Times New Roman"/>
                <w:lang w:eastAsia="zh-CN"/>
              </w:rPr>
              <w:t>2G</w:t>
            </w:r>
            <w:r>
              <w:rPr>
                <w:rFonts w:hint="eastAsia" w:ascii="仿宋" w:hAnsi="仿宋" w:eastAsia="仿宋" w:cs="Times New Roman"/>
                <w:lang w:eastAsia="zh-CN"/>
              </w:rPr>
              <w:t xml:space="preserve"> 显存以上独立显卡，千兆网卡。预装 </w:t>
            </w:r>
            <w:r>
              <w:rPr>
                <w:rFonts w:ascii="Times New Roman" w:hAnsi="Times New Roman" w:eastAsia="仿宋" w:cs="Times New Roman"/>
                <w:lang w:eastAsia="zh-CN"/>
              </w:rPr>
              <w:t>Windows7</w:t>
            </w:r>
            <w:r>
              <w:rPr>
                <w:rFonts w:hint="eastAsia" w:ascii="仿宋" w:hAnsi="仿宋" w:eastAsia="仿宋" w:cs="Times New Roman"/>
                <w:lang w:eastAsia="zh-CN"/>
              </w:rPr>
              <w:t xml:space="preserve"> 及以上操作系统；预装火狐浏览器、谷歌浏览器；预装录屏软件；预装全拼、简拼、微软拼音等中文输入法和英文输入法；</w:t>
            </w:r>
          </w:p>
        </w:tc>
      </w:tr>
      <w:tr w14:paraId="478C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3FAE3925">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7</w:t>
            </w:r>
          </w:p>
        </w:tc>
        <w:tc>
          <w:tcPr>
            <w:tcW w:w="1095" w:type="dxa"/>
            <w:vAlign w:val="center"/>
          </w:tcPr>
          <w:p w14:paraId="19D31856">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直播补光灯</w:t>
            </w:r>
          </w:p>
        </w:tc>
        <w:tc>
          <w:tcPr>
            <w:tcW w:w="6491" w:type="dxa"/>
            <w:vAlign w:val="center"/>
          </w:tcPr>
          <w:p w14:paraId="52595131">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可自由拉伸，最长</w:t>
            </w:r>
            <w:r>
              <w:rPr>
                <w:rFonts w:ascii="Times New Roman" w:hAnsi="Times New Roman" w:eastAsia="仿宋" w:cs="Times New Roman"/>
                <w:lang w:eastAsia="zh-CN"/>
              </w:rPr>
              <w:t>1</w:t>
            </w:r>
            <w:r>
              <w:rPr>
                <w:rFonts w:hint="eastAsia" w:ascii="仿宋" w:hAnsi="仿宋" w:eastAsia="仿宋" w:cs="Times New Roman"/>
                <w:lang w:eastAsia="zh-CN"/>
              </w:rPr>
              <w:t>.</w:t>
            </w:r>
            <w:r>
              <w:rPr>
                <w:rFonts w:ascii="Times New Roman" w:hAnsi="Times New Roman" w:eastAsia="仿宋" w:cs="Times New Roman"/>
                <w:lang w:eastAsia="zh-CN"/>
              </w:rPr>
              <w:t>7m</w:t>
            </w:r>
            <w:r>
              <w:rPr>
                <w:rFonts w:hint="eastAsia" w:ascii="仿宋" w:hAnsi="仿宋" w:eastAsia="仿宋" w:cs="Times New Roman"/>
                <w:lang w:eastAsia="zh-CN"/>
              </w:rPr>
              <w:t>，</w:t>
            </w:r>
            <w:r>
              <w:rPr>
                <w:rFonts w:ascii="Times New Roman" w:hAnsi="Times New Roman" w:eastAsia="仿宋" w:cs="Times New Roman"/>
                <w:lang w:eastAsia="zh-CN"/>
              </w:rPr>
              <w:t>USB</w:t>
            </w:r>
            <w:r>
              <w:rPr>
                <w:rFonts w:hint="eastAsia" w:ascii="仿宋" w:hAnsi="仿宋" w:eastAsia="仿宋" w:cs="Times New Roman"/>
                <w:lang w:eastAsia="zh-CN"/>
              </w:rPr>
              <w:t>充电，包含白光、暖光、暖白光三色温，可自由调节亮度；可立在地上或者摆在桌上。</w:t>
            </w:r>
          </w:p>
        </w:tc>
      </w:tr>
      <w:tr w14:paraId="3E1A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776CD9BB">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8</w:t>
            </w:r>
          </w:p>
        </w:tc>
        <w:tc>
          <w:tcPr>
            <w:tcW w:w="1095" w:type="dxa"/>
            <w:vAlign w:val="center"/>
          </w:tcPr>
          <w:p w14:paraId="25E9DBE3">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直播商品</w:t>
            </w:r>
          </w:p>
        </w:tc>
        <w:tc>
          <w:tcPr>
            <w:tcW w:w="6491" w:type="dxa"/>
            <w:vAlign w:val="center"/>
          </w:tcPr>
          <w:p w14:paraId="17A55E2C">
            <w:pPr>
              <w:pStyle w:val="26"/>
              <w:spacing w:line="360" w:lineRule="exact"/>
              <w:ind w:left="102"/>
              <w:rPr>
                <w:rFonts w:hint="eastAsia" w:ascii="仿宋" w:hAnsi="仿宋" w:eastAsia="仿宋" w:cs="Times New Roman"/>
                <w:lang w:eastAsia="zh-CN"/>
              </w:rPr>
            </w:pPr>
            <w:r>
              <w:rPr>
                <w:rFonts w:ascii="Times New Roman" w:hAnsi="Times New Roman" w:eastAsia="仿宋" w:cs="Times New Roman"/>
                <w:lang w:eastAsia="zh-CN"/>
              </w:rPr>
              <w:t>2</w:t>
            </w:r>
            <w:r>
              <w:rPr>
                <w:rFonts w:hint="eastAsia" w:ascii="仿宋" w:hAnsi="仿宋" w:eastAsia="仿宋" w:cs="Times New Roman"/>
                <w:lang w:eastAsia="zh-CN"/>
              </w:rPr>
              <w:t>种商品实物。</w:t>
            </w:r>
          </w:p>
        </w:tc>
      </w:tr>
    </w:tbl>
    <w:p w14:paraId="6F515436">
      <w:pPr>
        <w:spacing w:line="560" w:lineRule="exact"/>
        <w:ind w:firstLine="640" w:firstLineChars="200"/>
        <w:outlineLvl w:val="1"/>
        <w:rPr>
          <w:rFonts w:hint="eastAsia" w:ascii="楷体_GB2312" w:hAnsi="楷体_GB2312" w:eastAsia="楷体_GB2312" w:cs="楷体_GB2312"/>
          <w:bCs/>
          <w:sz w:val="32"/>
          <w:szCs w:val="32"/>
        </w:rPr>
      </w:pPr>
      <w:bookmarkStart w:id="149" w:name="_Toc2355"/>
      <w:bookmarkStart w:id="150" w:name="_Toc25005"/>
      <w:bookmarkStart w:id="151" w:name="_Toc22256"/>
      <w:bookmarkStart w:id="152" w:name="_Toc11510"/>
    </w:p>
    <w:p w14:paraId="180C6734">
      <w:pPr>
        <w:spacing w:line="560" w:lineRule="exact"/>
        <w:ind w:firstLine="640" w:firstLineChars="200"/>
        <w:outlineLvl w:val="1"/>
        <w:rPr>
          <w:rFonts w:hint="eastAsia" w:ascii="楷体_GB2312" w:hAnsi="楷体_GB2312" w:eastAsia="楷体_GB2312" w:cs="楷体_GB2312"/>
          <w:bCs/>
          <w:sz w:val="32"/>
          <w:szCs w:val="32"/>
        </w:rPr>
      </w:pPr>
      <w:bookmarkStart w:id="153" w:name="_Toc22874"/>
      <w:r>
        <w:rPr>
          <w:rFonts w:hint="eastAsia" w:ascii="楷体_GB2312" w:hAnsi="楷体_GB2312" w:eastAsia="楷体_GB2312" w:cs="楷体_GB2312"/>
          <w:bCs/>
          <w:sz w:val="32"/>
          <w:szCs w:val="32"/>
        </w:rPr>
        <w:t>（四）选手自带材料</w:t>
      </w:r>
      <w:bookmarkEnd w:id="142"/>
      <w:bookmarkEnd w:id="143"/>
      <w:bookmarkEnd w:id="149"/>
      <w:bookmarkEnd w:id="150"/>
      <w:bookmarkEnd w:id="151"/>
      <w:bookmarkEnd w:id="152"/>
      <w:bookmarkEnd w:id="153"/>
    </w:p>
    <w:tbl>
      <w:tblPr>
        <w:tblStyle w:val="16"/>
        <w:tblW w:w="8475" w:type="dxa"/>
        <w:tblInd w:w="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42" w:type="dxa"/>
          <w:bottom w:w="57" w:type="dxa"/>
          <w:right w:w="142" w:type="dxa"/>
        </w:tblCellMar>
      </w:tblPr>
      <w:tblGrid>
        <w:gridCol w:w="897"/>
        <w:gridCol w:w="960"/>
        <w:gridCol w:w="990"/>
        <w:gridCol w:w="5628"/>
      </w:tblGrid>
      <w:tr w14:paraId="41DEC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13" w:hRule="atLeast"/>
        </w:trPr>
        <w:tc>
          <w:tcPr>
            <w:tcW w:w="897" w:type="dxa"/>
          </w:tcPr>
          <w:p w14:paraId="2EE0052B">
            <w:pPr>
              <w:pStyle w:val="26"/>
              <w:spacing w:line="360" w:lineRule="exact"/>
              <w:ind w:left="102"/>
              <w:jc w:val="center"/>
              <w:rPr>
                <w:rFonts w:hint="eastAsia" w:ascii="仿宋" w:hAnsi="仿宋" w:eastAsia="仿宋" w:cs="Times New Roman"/>
                <w:b/>
                <w:bCs/>
                <w:lang w:eastAsia="zh-CN"/>
              </w:rPr>
            </w:pPr>
            <w:r>
              <w:rPr>
                <w:rFonts w:hint="eastAsia" w:ascii="仿宋" w:hAnsi="仿宋" w:eastAsia="仿宋" w:cs="Times New Roman"/>
                <w:b/>
                <w:bCs/>
                <w:lang w:eastAsia="zh-CN"/>
              </w:rPr>
              <w:t>序号</w:t>
            </w:r>
          </w:p>
        </w:tc>
        <w:tc>
          <w:tcPr>
            <w:tcW w:w="960" w:type="dxa"/>
          </w:tcPr>
          <w:p w14:paraId="6332FCD7">
            <w:pPr>
              <w:pStyle w:val="26"/>
              <w:spacing w:line="360" w:lineRule="exact"/>
              <w:ind w:left="102"/>
              <w:jc w:val="center"/>
              <w:rPr>
                <w:rFonts w:hint="eastAsia" w:ascii="仿宋" w:hAnsi="仿宋" w:eastAsia="仿宋" w:cs="Times New Roman"/>
                <w:b/>
                <w:bCs/>
                <w:lang w:eastAsia="zh-CN"/>
              </w:rPr>
            </w:pPr>
            <w:r>
              <w:rPr>
                <w:rFonts w:hint="eastAsia" w:ascii="仿宋" w:hAnsi="仿宋" w:eastAsia="仿宋" w:cs="Times New Roman"/>
                <w:b/>
                <w:bCs/>
                <w:lang w:eastAsia="zh-CN"/>
              </w:rPr>
              <w:t>名称</w:t>
            </w:r>
          </w:p>
        </w:tc>
        <w:tc>
          <w:tcPr>
            <w:tcW w:w="990" w:type="dxa"/>
          </w:tcPr>
          <w:p w14:paraId="361AA31E">
            <w:pPr>
              <w:pStyle w:val="26"/>
              <w:spacing w:line="360" w:lineRule="exact"/>
              <w:ind w:left="102"/>
              <w:jc w:val="center"/>
              <w:rPr>
                <w:rFonts w:hint="eastAsia" w:ascii="仿宋" w:hAnsi="仿宋" w:eastAsia="仿宋" w:cs="Times New Roman"/>
                <w:b/>
                <w:bCs/>
                <w:lang w:eastAsia="zh-CN"/>
              </w:rPr>
            </w:pPr>
            <w:r>
              <w:rPr>
                <w:rFonts w:hint="eastAsia" w:ascii="仿宋" w:hAnsi="仿宋" w:eastAsia="仿宋" w:cs="Times New Roman"/>
                <w:b/>
                <w:bCs/>
                <w:lang w:eastAsia="zh-CN"/>
              </w:rPr>
              <w:t>数量</w:t>
            </w:r>
          </w:p>
        </w:tc>
        <w:tc>
          <w:tcPr>
            <w:tcW w:w="5628" w:type="dxa"/>
          </w:tcPr>
          <w:p w14:paraId="36F075AA">
            <w:pPr>
              <w:pStyle w:val="26"/>
              <w:spacing w:line="360" w:lineRule="exact"/>
              <w:ind w:left="102"/>
              <w:jc w:val="center"/>
              <w:rPr>
                <w:rFonts w:hint="eastAsia" w:ascii="仿宋" w:hAnsi="仿宋" w:eastAsia="仿宋" w:cs="Times New Roman"/>
                <w:b/>
                <w:bCs/>
                <w:lang w:eastAsia="zh-CN"/>
              </w:rPr>
            </w:pPr>
            <w:r>
              <w:rPr>
                <w:rFonts w:hint="eastAsia" w:ascii="仿宋" w:hAnsi="仿宋" w:eastAsia="仿宋" w:cs="Times New Roman"/>
                <w:b/>
                <w:bCs/>
                <w:lang w:eastAsia="zh-CN"/>
              </w:rPr>
              <w:t>技术规格</w:t>
            </w:r>
          </w:p>
        </w:tc>
      </w:tr>
      <w:tr w14:paraId="77166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716" w:hRule="atLeast"/>
        </w:trPr>
        <w:tc>
          <w:tcPr>
            <w:tcW w:w="897" w:type="dxa"/>
            <w:vAlign w:val="center"/>
          </w:tcPr>
          <w:p w14:paraId="1A1EFF52">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1</w:t>
            </w:r>
          </w:p>
        </w:tc>
        <w:tc>
          <w:tcPr>
            <w:tcW w:w="960" w:type="dxa"/>
            <w:vAlign w:val="center"/>
          </w:tcPr>
          <w:p w14:paraId="3235ABBB">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手机</w:t>
            </w:r>
          </w:p>
        </w:tc>
        <w:tc>
          <w:tcPr>
            <w:tcW w:w="990" w:type="dxa"/>
            <w:vAlign w:val="center"/>
          </w:tcPr>
          <w:p w14:paraId="5009EE96">
            <w:pPr>
              <w:pStyle w:val="26"/>
              <w:spacing w:line="360" w:lineRule="exact"/>
              <w:ind w:left="102"/>
              <w:rPr>
                <w:rFonts w:hint="eastAsia" w:ascii="仿宋" w:hAnsi="仿宋" w:eastAsia="仿宋" w:cs="Times New Roman"/>
                <w:lang w:eastAsia="zh-CN"/>
              </w:rPr>
            </w:pPr>
            <w:r>
              <w:rPr>
                <w:rFonts w:ascii="Times New Roman" w:hAnsi="Times New Roman" w:eastAsia="仿宋" w:cs="Times New Roman"/>
                <w:lang w:eastAsia="zh-CN"/>
              </w:rPr>
              <w:t>1</w:t>
            </w:r>
            <w:r>
              <w:rPr>
                <w:rFonts w:hint="eastAsia" w:ascii="仿宋" w:hAnsi="仿宋" w:eastAsia="仿宋" w:cs="Times New Roman"/>
                <w:lang w:eastAsia="zh-CN"/>
              </w:rPr>
              <w:t>台/选手</w:t>
            </w:r>
          </w:p>
        </w:tc>
        <w:tc>
          <w:tcPr>
            <w:tcW w:w="5628" w:type="dxa"/>
            <w:vAlign w:val="center"/>
          </w:tcPr>
          <w:p w14:paraId="2812DF8A">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安卓（</w:t>
            </w:r>
            <w:r>
              <w:rPr>
                <w:rFonts w:ascii="Times New Roman" w:hAnsi="Times New Roman" w:eastAsia="仿宋" w:cs="Times New Roman"/>
                <w:lang w:eastAsia="zh-CN"/>
              </w:rPr>
              <w:t>Android</w:t>
            </w:r>
            <w:r>
              <w:rPr>
                <w:rFonts w:hint="eastAsia" w:ascii="仿宋" w:hAnsi="仿宋" w:eastAsia="仿宋" w:cs="Times New Roman"/>
                <w:lang w:eastAsia="zh-CN"/>
              </w:rPr>
              <w:t>）系统手机，满足前摄主摄像素</w:t>
            </w:r>
            <w:r>
              <w:rPr>
                <w:rFonts w:ascii="Times New Roman" w:hAnsi="Times New Roman" w:eastAsia="仿宋" w:cs="Times New Roman"/>
                <w:lang w:eastAsia="zh-CN"/>
              </w:rPr>
              <w:t>500</w:t>
            </w:r>
            <w:r>
              <w:rPr>
                <w:rFonts w:hint="eastAsia" w:ascii="仿宋" w:hAnsi="仿宋" w:eastAsia="仿宋" w:cs="Times New Roman"/>
                <w:lang w:eastAsia="zh-CN"/>
              </w:rPr>
              <w:t>万或以上，</w:t>
            </w:r>
            <w:r>
              <w:rPr>
                <w:rFonts w:ascii="Times New Roman" w:hAnsi="Times New Roman" w:eastAsia="仿宋" w:cs="Times New Roman"/>
                <w:lang w:eastAsia="zh-CN"/>
              </w:rPr>
              <w:t>3GB</w:t>
            </w:r>
            <w:r>
              <w:rPr>
                <w:rFonts w:hint="eastAsia" w:ascii="仿宋" w:hAnsi="仿宋" w:eastAsia="仿宋" w:cs="Times New Roman"/>
                <w:lang w:eastAsia="zh-CN"/>
              </w:rPr>
              <w:t>+</w:t>
            </w:r>
            <w:r>
              <w:rPr>
                <w:rFonts w:ascii="Times New Roman" w:hAnsi="Times New Roman" w:eastAsia="仿宋" w:cs="Times New Roman"/>
                <w:lang w:eastAsia="zh-CN"/>
              </w:rPr>
              <w:t>32GB</w:t>
            </w:r>
            <w:r>
              <w:rPr>
                <w:rFonts w:hint="eastAsia" w:ascii="仿宋" w:hAnsi="仿宋" w:eastAsia="仿宋" w:cs="Times New Roman"/>
                <w:lang w:eastAsia="zh-CN"/>
              </w:rPr>
              <w:t>或以上，自带耳机，保证声音输入</w:t>
            </w:r>
          </w:p>
        </w:tc>
      </w:tr>
      <w:tr w14:paraId="44274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716" w:hRule="atLeast"/>
        </w:trPr>
        <w:tc>
          <w:tcPr>
            <w:tcW w:w="897" w:type="dxa"/>
            <w:vAlign w:val="center"/>
          </w:tcPr>
          <w:p w14:paraId="323839AC">
            <w:pPr>
              <w:pStyle w:val="26"/>
              <w:spacing w:line="360" w:lineRule="exact"/>
              <w:ind w:left="102"/>
              <w:jc w:val="center"/>
              <w:rPr>
                <w:rFonts w:hint="eastAsia" w:ascii="仿宋" w:hAnsi="仿宋" w:eastAsia="仿宋" w:cs="Times New Roman"/>
                <w:lang w:eastAsia="zh-CN"/>
              </w:rPr>
            </w:pPr>
            <w:r>
              <w:rPr>
                <w:rFonts w:ascii="Times New Roman" w:hAnsi="Times New Roman" w:eastAsia="仿宋" w:cs="Times New Roman"/>
                <w:lang w:eastAsia="zh-CN"/>
              </w:rPr>
              <w:t>2</w:t>
            </w:r>
          </w:p>
        </w:tc>
        <w:tc>
          <w:tcPr>
            <w:tcW w:w="960" w:type="dxa"/>
            <w:vAlign w:val="center"/>
          </w:tcPr>
          <w:p w14:paraId="320940A5">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直播耳机</w:t>
            </w:r>
          </w:p>
        </w:tc>
        <w:tc>
          <w:tcPr>
            <w:tcW w:w="990" w:type="dxa"/>
            <w:vAlign w:val="center"/>
          </w:tcPr>
          <w:p w14:paraId="2801C685">
            <w:pPr>
              <w:pStyle w:val="26"/>
              <w:spacing w:line="360" w:lineRule="exact"/>
              <w:ind w:left="102"/>
              <w:rPr>
                <w:rFonts w:hint="eastAsia" w:ascii="仿宋" w:hAnsi="仿宋" w:eastAsia="仿宋" w:cs="Times New Roman"/>
                <w:lang w:eastAsia="zh-CN"/>
              </w:rPr>
            </w:pPr>
            <w:r>
              <w:rPr>
                <w:rFonts w:ascii="Times New Roman" w:hAnsi="Times New Roman" w:eastAsia="仿宋" w:cs="Times New Roman"/>
                <w:lang w:eastAsia="zh-CN"/>
              </w:rPr>
              <w:t>1</w:t>
            </w:r>
            <w:r>
              <w:rPr>
                <w:rFonts w:hint="eastAsia" w:ascii="仿宋" w:hAnsi="仿宋" w:eastAsia="仿宋" w:cs="Times New Roman"/>
                <w:lang w:eastAsia="zh-CN"/>
              </w:rPr>
              <w:t>副/选手</w:t>
            </w:r>
          </w:p>
        </w:tc>
        <w:tc>
          <w:tcPr>
            <w:tcW w:w="5628" w:type="dxa"/>
            <w:vAlign w:val="center"/>
          </w:tcPr>
          <w:p w14:paraId="6729A837">
            <w:pPr>
              <w:pStyle w:val="26"/>
              <w:spacing w:line="360" w:lineRule="exact"/>
              <w:ind w:left="102"/>
              <w:rPr>
                <w:rFonts w:hint="eastAsia" w:ascii="仿宋" w:hAnsi="仿宋" w:eastAsia="仿宋" w:cs="Times New Roman"/>
                <w:lang w:eastAsia="zh-CN"/>
              </w:rPr>
            </w:pPr>
            <w:r>
              <w:rPr>
                <w:rFonts w:hint="eastAsia" w:ascii="仿宋" w:hAnsi="仿宋" w:eastAsia="仿宋" w:cs="Times New Roman"/>
                <w:lang w:eastAsia="zh-CN"/>
              </w:rPr>
              <w:t>直插型、入耳式有线耳机，线长不低于</w:t>
            </w:r>
            <w:r>
              <w:rPr>
                <w:rFonts w:ascii="Times New Roman" w:hAnsi="Times New Roman" w:eastAsia="仿宋" w:cs="Times New Roman"/>
                <w:lang w:eastAsia="zh-CN"/>
              </w:rPr>
              <w:t>1</w:t>
            </w:r>
            <w:r>
              <w:rPr>
                <w:rFonts w:hint="eastAsia" w:ascii="仿宋" w:hAnsi="仿宋" w:eastAsia="仿宋" w:cs="Times New Roman"/>
                <w:lang w:eastAsia="zh-CN"/>
              </w:rPr>
              <w:t>.</w:t>
            </w:r>
            <w:r>
              <w:rPr>
                <w:rFonts w:ascii="Times New Roman" w:hAnsi="Times New Roman" w:eastAsia="仿宋" w:cs="Times New Roman"/>
                <w:lang w:eastAsia="zh-CN"/>
              </w:rPr>
              <w:t>5m</w:t>
            </w:r>
          </w:p>
        </w:tc>
      </w:tr>
    </w:tbl>
    <w:p w14:paraId="2DD2B2D7">
      <w:pPr>
        <w:spacing w:after="160" w:line="560" w:lineRule="exact"/>
        <w:ind w:firstLine="640" w:firstLineChars="200"/>
        <w:outlineLvl w:val="0"/>
        <w:rPr>
          <w:rFonts w:hint="eastAsia" w:ascii="黑体" w:hAnsi="黑体" w:eastAsia="黑体" w:cs="黑体"/>
          <w:bCs/>
          <w:sz w:val="32"/>
          <w:szCs w:val="32"/>
        </w:rPr>
      </w:pPr>
      <w:bookmarkStart w:id="154" w:name="_Toc25352"/>
      <w:bookmarkStart w:id="155" w:name="_Toc141450665"/>
      <w:bookmarkStart w:id="156" w:name="_Toc31631"/>
    </w:p>
    <w:p w14:paraId="31BF2A9E">
      <w:pPr>
        <w:spacing w:after="160" w:line="560" w:lineRule="exact"/>
        <w:ind w:firstLine="640" w:firstLineChars="200"/>
        <w:outlineLvl w:val="0"/>
        <w:rPr>
          <w:rFonts w:hint="eastAsia" w:ascii="黑体" w:hAnsi="黑体" w:eastAsia="黑体" w:cs="黑体"/>
          <w:bCs/>
          <w:sz w:val="32"/>
          <w:szCs w:val="32"/>
        </w:rPr>
      </w:pPr>
      <w:bookmarkStart w:id="157" w:name="_Toc10246"/>
      <w:bookmarkStart w:id="158" w:name="_Toc19030"/>
      <w:bookmarkStart w:id="159" w:name="_Toc20491"/>
      <w:bookmarkStart w:id="160" w:name="_Toc11737"/>
      <w:bookmarkStart w:id="161" w:name="_Toc13758"/>
      <w:r>
        <w:rPr>
          <w:rFonts w:hint="eastAsia" w:ascii="黑体" w:hAnsi="黑体" w:eastAsia="黑体" w:cs="黑体"/>
          <w:bCs/>
          <w:sz w:val="32"/>
          <w:szCs w:val="32"/>
        </w:rPr>
        <w:t>五、安全、健康</w:t>
      </w:r>
      <w:bookmarkEnd w:id="154"/>
      <w:r>
        <w:rPr>
          <w:rFonts w:hint="eastAsia" w:ascii="黑体" w:hAnsi="黑体" w:eastAsia="黑体" w:cs="黑体"/>
          <w:bCs/>
          <w:sz w:val="32"/>
          <w:szCs w:val="32"/>
        </w:rPr>
        <w:t>要求</w:t>
      </w:r>
      <w:bookmarkEnd w:id="155"/>
      <w:bookmarkEnd w:id="156"/>
      <w:bookmarkEnd w:id="157"/>
      <w:bookmarkEnd w:id="158"/>
      <w:bookmarkEnd w:id="159"/>
      <w:bookmarkEnd w:id="160"/>
      <w:bookmarkEnd w:id="161"/>
    </w:p>
    <w:p w14:paraId="0DD2C4AC">
      <w:pPr>
        <w:spacing w:line="560" w:lineRule="exact"/>
        <w:ind w:firstLine="640" w:firstLineChars="200"/>
        <w:outlineLvl w:val="1"/>
        <w:rPr>
          <w:rFonts w:hint="eastAsia" w:ascii="楷体_GB2312" w:hAnsi="楷体_GB2312" w:eastAsia="楷体_GB2312" w:cs="楷体_GB2312"/>
          <w:bCs/>
          <w:sz w:val="32"/>
          <w:szCs w:val="32"/>
        </w:rPr>
      </w:pPr>
      <w:bookmarkStart w:id="162" w:name="_Toc6145"/>
      <w:bookmarkStart w:id="163" w:name="_Toc21091"/>
      <w:bookmarkStart w:id="164" w:name="_Toc27612"/>
      <w:bookmarkStart w:id="165" w:name="_Toc17590"/>
      <w:bookmarkStart w:id="166" w:name="_Toc11616"/>
      <w:bookmarkStart w:id="167" w:name="_Toc28794"/>
      <w:bookmarkStart w:id="168" w:name="_Toc25885"/>
      <w:r>
        <w:rPr>
          <w:rFonts w:hint="eastAsia" w:ascii="楷体_GB2312" w:hAnsi="楷体_GB2312" w:eastAsia="楷体_GB2312" w:cs="楷体_GB2312"/>
          <w:bCs/>
          <w:sz w:val="32"/>
          <w:szCs w:val="32"/>
        </w:rPr>
        <w:t>（一）人员安全、健康要求</w:t>
      </w:r>
      <w:bookmarkEnd w:id="162"/>
      <w:bookmarkEnd w:id="163"/>
      <w:bookmarkEnd w:id="164"/>
      <w:bookmarkEnd w:id="165"/>
      <w:bookmarkEnd w:id="166"/>
      <w:bookmarkEnd w:id="167"/>
      <w:bookmarkEnd w:id="168"/>
    </w:p>
    <w:p w14:paraId="69CFA2B8">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1</w:t>
      </w:r>
      <w:r>
        <w:rPr>
          <w:rFonts w:hint="eastAsia" w:ascii="仿宋_GB2312" w:hAnsi="仿宋_GB2312" w:eastAsia="仿宋_GB2312" w:cs="仿宋_GB2312"/>
          <w:sz w:val="32"/>
          <w:szCs w:val="32"/>
        </w:rPr>
        <w:t>.按照国家相关法规和安全生产操作规程，各竞赛项目提出安全、健康要求，并于赛前集中培训期间，由裁判长组织全体裁判员及参赛选手学习掌握。</w:t>
      </w:r>
    </w:p>
    <w:p w14:paraId="5DA25B70">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2</w:t>
      </w:r>
      <w:r>
        <w:rPr>
          <w:rFonts w:hint="eastAsia" w:ascii="仿宋_GB2312" w:hAnsi="仿宋_GB2312" w:eastAsia="仿宋_GB2312" w:cs="仿宋_GB2312"/>
          <w:sz w:val="32"/>
          <w:szCs w:val="32"/>
        </w:rPr>
        <w:t>.按照国家和广西卫生健康有关规范及要求，在大赛现场设置急救站，配备专业医务人员和设备，做好卫生防护工作、医疗应急准备。</w:t>
      </w:r>
    </w:p>
    <w:p w14:paraId="389AB56C">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3</w:t>
      </w:r>
      <w:r>
        <w:rPr>
          <w:rFonts w:hint="eastAsia" w:ascii="仿宋_GB2312" w:hAnsi="仿宋_GB2312" w:eastAsia="仿宋_GB2312" w:cs="仿宋_GB2312"/>
          <w:sz w:val="32"/>
          <w:szCs w:val="32"/>
        </w:rPr>
        <w:t>.按照安全健康卫生有关要求，应确保所提供食品和饮料的安全，并按照赛场场地布局安排，提供相应的饮水及小食品服务。任何参赛选手和其他人员不得私自携带食品和饮料进入竞赛工位。</w:t>
      </w:r>
    </w:p>
    <w:p w14:paraId="222ED2FE">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4</w:t>
      </w:r>
      <w:r>
        <w:rPr>
          <w:rFonts w:hint="eastAsia" w:ascii="仿宋_GB2312" w:hAnsi="仿宋_GB2312" w:eastAsia="仿宋_GB2312" w:cs="仿宋_GB2312"/>
          <w:sz w:val="32"/>
          <w:szCs w:val="32"/>
        </w:rPr>
        <w:t>.各参赛队应为本队选手购买人身意外伤害保险。各参赛队报到时，向执委会提交相关证明。</w:t>
      </w:r>
    </w:p>
    <w:p w14:paraId="79611D2E">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5</w:t>
      </w:r>
      <w:r>
        <w:rPr>
          <w:rFonts w:hint="eastAsia" w:ascii="仿宋_GB2312" w:hAnsi="仿宋_GB2312" w:eastAsia="仿宋_GB2312" w:cs="仿宋_GB2312"/>
          <w:sz w:val="32"/>
          <w:szCs w:val="32"/>
        </w:rPr>
        <w:t>.进入竞赛区域的人员，应严格按照各项目安全、健康规定，做好安全防护。</w:t>
      </w:r>
    </w:p>
    <w:p w14:paraId="1DA975C8">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6</w:t>
      </w:r>
      <w:r>
        <w:rPr>
          <w:rFonts w:hint="eastAsia" w:ascii="仿宋_GB2312" w:hAnsi="仿宋_GB2312" w:eastAsia="仿宋_GB2312" w:cs="仿宋_GB2312"/>
          <w:sz w:val="32"/>
          <w:szCs w:val="32"/>
        </w:rPr>
        <w:t>.竞赛过程中，出现任何有害健康或不安全情况，专家组长（裁判长）有权立即中止竞赛。</w:t>
      </w:r>
    </w:p>
    <w:p w14:paraId="09184E1B">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7</w:t>
      </w:r>
      <w:r>
        <w:rPr>
          <w:rFonts w:hint="eastAsia" w:ascii="仿宋_GB2312" w:hAnsi="仿宋_GB2312" w:eastAsia="仿宋_GB2312" w:cs="仿宋_GB2312"/>
          <w:sz w:val="32"/>
          <w:szCs w:val="32"/>
        </w:rPr>
        <w:t>.选手在竞赛中出现伤、病等突发情况时，经专家组长（裁判长）许可，工作人员可进入赛场为选手提供必要的帮助。</w:t>
      </w:r>
    </w:p>
    <w:p w14:paraId="04790A20">
      <w:pPr>
        <w:spacing w:line="560" w:lineRule="exact"/>
        <w:ind w:firstLine="640" w:firstLineChars="200"/>
        <w:outlineLvl w:val="1"/>
        <w:rPr>
          <w:rFonts w:hint="eastAsia" w:ascii="楷体_GB2312" w:hAnsi="楷体_GB2312" w:eastAsia="楷体_GB2312" w:cs="楷体_GB2312"/>
          <w:bCs/>
          <w:sz w:val="32"/>
          <w:szCs w:val="32"/>
        </w:rPr>
      </w:pPr>
      <w:bookmarkStart w:id="169" w:name="_Toc12808"/>
      <w:bookmarkStart w:id="170" w:name="_Toc4708"/>
      <w:bookmarkStart w:id="171" w:name="_Toc6384"/>
      <w:bookmarkStart w:id="172" w:name="_Toc3347"/>
      <w:bookmarkStart w:id="173" w:name="_Toc32154"/>
      <w:bookmarkStart w:id="174" w:name="_Toc14412"/>
      <w:bookmarkStart w:id="175" w:name="_Toc9467"/>
      <w:r>
        <w:rPr>
          <w:rFonts w:hint="eastAsia" w:ascii="楷体_GB2312" w:hAnsi="楷体_GB2312" w:eastAsia="楷体_GB2312" w:cs="楷体_GB2312"/>
          <w:bCs/>
          <w:sz w:val="32"/>
          <w:szCs w:val="32"/>
        </w:rPr>
        <w:t>（二）场地安全、健康安排</w:t>
      </w:r>
      <w:bookmarkEnd w:id="169"/>
      <w:bookmarkEnd w:id="170"/>
      <w:bookmarkEnd w:id="171"/>
      <w:bookmarkEnd w:id="172"/>
      <w:bookmarkEnd w:id="173"/>
      <w:bookmarkEnd w:id="174"/>
      <w:bookmarkEnd w:id="175"/>
    </w:p>
    <w:p w14:paraId="32861676">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1</w:t>
      </w:r>
      <w:r>
        <w:rPr>
          <w:rFonts w:hint="eastAsia" w:ascii="仿宋_GB2312" w:hAnsi="仿宋_GB2312" w:eastAsia="仿宋_GB2312" w:cs="仿宋_GB2312"/>
          <w:sz w:val="32"/>
          <w:szCs w:val="32"/>
        </w:rPr>
        <w:t>.按规定预留赛场安全疏散通道，配备足够的干粉灭火器和二氧化碳灭火器、消防器械等安全应急处理设施设备和人员，张贴各项目安全健康规定、图示等，并事先制定应急处理预案，安排专人负责赛场紧急疏导等工作。</w:t>
      </w:r>
    </w:p>
    <w:p w14:paraId="5D18867B">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2</w:t>
      </w:r>
      <w:r>
        <w:rPr>
          <w:rFonts w:hint="eastAsia" w:ascii="仿宋_GB2312" w:hAnsi="仿宋_GB2312" w:eastAsia="仿宋_GB2312" w:cs="仿宋_GB2312"/>
          <w:sz w:val="32"/>
          <w:szCs w:val="32"/>
        </w:rPr>
        <w:t>.对进入赛场的人员要逐一进行安检，防止任何易燃易爆危险物品带入赛场。</w:t>
      </w:r>
    </w:p>
    <w:p w14:paraId="10EBFFD1">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3</w:t>
      </w:r>
      <w:r>
        <w:rPr>
          <w:rFonts w:hint="eastAsia" w:ascii="仿宋_GB2312" w:hAnsi="仿宋_GB2312" w:eastAsia="仿宋_GB2312" w:cs="仿宋_GB2312"/>
          <w:sz w:val="32"/>
          <w:szCs w:val="32"/>
        </w:rPr>
        <w:t>.赛场内禁止吸烟，张贴禁烟标识，指定专员进行赛前消防检查，并在竞赛过程中巡视检查，确保竞赛顺利进行。</w:t>
      </w:r>
    </w:p>
    <w:p w14:paraId="48C1B451">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4</w:t>
      </w:r>
      <w:r>
        <w:rPr>
          <w:rFonts w:hint="eastAsia" w:ascii="仿宋_GB2312" w:hAnsi="仿宋_GB2312" w:eastAsia="仿宋_GB2312" w:cs="仿宋_GB2312"/>
          <w:sz w:val="32"/>
          <w:szCs w:val="32"/>
        </w:rPr>
        <w:t>.提供安全照明和通风等设施设备。对易产生有害气体的竞赛项目，应配备完善的排风和处理设施。</w:t>
      </w:r>
    </w:p>
    <w:p w14:paraId="4A2F5487">
      <w:pPr>
        <w:spacing w:line="560" w:lineRule="exact"/>
        <w:ind w:firstLine="640" w:firstLineChars="200"/>
        <w:outlineLvl w:val="1"/>
        <w:rPr>
          <w:rFonts w:hint="eastAsia" w:ascii="楷体_GB2312" w:hAnsi="楷体_GB2312" w:eastAsia="楷体_GB2312" w:cs="楷体_GB2312"/>
          <w:bCs/>
          <w:sz w:val="32"/>
          <w:szCs w:val="32"/>
        </w:rPr>
      </w:pPr>
      <w:bookmarkStart w:id="176" w:name="_Toc5461"/>
      <w:bookmarkStart w:id="177" w:name="_Toc21169"/>
      <w:bookmarkStart w:id="178" w:name="_Toc27355"/>
      <w:bookmarkStart w:id="179" w:name="_Toc5654"/>
      <w:bookmarkStart w:id="180" w:name="_Toc9559"/>
      <w:bookmarkStart w:id="181" w:name="_Toc6118"/>
      <w:bookmarkStart w:id="182" w:name="_Toc24084"/>
      <w:r>
        <w:rPr>
          <w:rFonts w:hint="eastAsia" w:ascii="楷体_GB2312" w:hAnsi="楷体_GB2312" w:eastAsia="楷体_GB2312" w:cs="楷体_GB2312"/>
          <w:bCs/>
          <w:sz w:val="32"/>
          <w:szCs w:val="32"/>
        </w:rPr>
        <w:t>（三）突发情况处置</w:t>
      </w:r>
      <w:bookmarkEnd w:id="176"/>
      <w:bookmarkEnd w:id="177"/>
      <w:bookmarkEnd w:id="178"/>
      <w:bookmarkEnd w:id="179"/>
      <w:bookmarkEnd w:id="180"/>
      <w:bookmarkEnd w:id="181"/>
      <w:bookmarkEnd w:id="182"/>
    </w:p>
    <w:p w14:paraId="14CA955D">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1</w:t>
      </w:r>
      <w:r>
        <w:rPr>
          <w:rFonts w:hint="eastAsia" w:ascii="仿宋_GB2312" w:hAnsi="仿宋_GB2312" w:eastAsia="仿宋_GB2312" w:cs="仿宋_GB2312"/>
          <w:sz w:val="32"/>
          <w:szCs w:val="32"/>
        </w:rPr>
        <w:t>.停电或设备故障</w:t>
      </w:r>
    </w:p>
    <w:p w14:paraId="3AD0CDD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出现停电或设备故障无法进行作业时，选手可向裁判员举手报告，裁判员征得专家组长（裁判长）同意后，该选手可申请暂停比赛，由裁判员记录暂停起止时间，以便补时。由于选手自身违规操作导致的停电或设备故障，所耽误的时间不予补时。</w:t>
      </w:r>
    </w:p>
    <w:p w14:paraId="7775FF74">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2</w:t>
      </w:r>
      <w:r>
        <w:rPr>
          <w:rFonts w:hint="eastAsia" w:ascii="仿宋_GB2312" w:hAnsi="仿宋_GB2312" w:eastAsia="仿宋_GB2312" w:cs="仿宋_GB2312"/>
          <w:sz w:val="32"/>
          <w:szCs w:val="32"/>
        </w:rPr>
        <w:t>.伤病</w:t>
      </w:r>
    </w:p>
    <w:p w14:paraId="04D60E7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赛过程中，如选手突发病痛或违规操作给自身带来伤害，由裁判员报告专家组长（裁判长），由场地工作人员带其进行就医。如果是小的伤害，可报告裁判员，由场内工作人员用医药急救箱内医药用品进行救治。由于伤病导致比赛中断，医疗救治时间不予补时。</w:t>
      </w:r>
    </w:p>
    <w:p w14:paraId="22F682F1">
      <w:pPr>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sz w:val="32"/>
          <w:szCs w:val="32"/>
        </w:rPr>
        <w:t>3</w:t>
      </w:r>
      <w:r>
        <w:rPr>
          <w:rFonts w:hint="eastAsia" w:ascii="仿宋_GB2312" w:hAnsi="仿宋_GB2312" w:eastAsia="仿宋_GB2312" w:cs="仿宋_GB2312"/>
          <w:sz w:val="32"/>
          <w:szCs w:val="32"/>
        </w:rPr>
        <w:t>.突发情况</w:t>
      </w:r>
    </w:p>
    <w:p w14:paraId="660A0D7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遇火险请勿慌乱，从安全出口紧急撤离。如需撤离，请听从工作人员指挥，到指定紧急集合点集合。项目如遇各种紧急情况，请立即与执委会联系，并说明您的姓名、所处位置和紧急情况的性质，赛场应急小组将及时进行处置。</w:t>
      </w:r>
    </w:p>
    <w:p w14:paraId="2AB4B8F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遇有突发事件，特别是危及公共安全的突发情况，由执委会下达暂停竞赛或终止竞赛指令，执委会按照事先制订的预案开展工作，及时组织所有人员有序撤离。</w:t>
      </w:r>
    </w:p>
    <w:sectPr>
      <w:footerReference r:id="rId5" w:type="default"/>
      <w:pgSz w:w="11906" w:h="16838"/>
      <w:pgMar w:top="1417" w:right="1587" w:bottom="1417"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Inria Serif">
    <w:altName w:val="Times New Roman"/>
    <w:panose1 w:val="00000000000000000000"/>
    <w:charset w:val="00"/>
    <w:family w:val="auto"/>
    <w:pitch w:val="default"/>
    <w:sig w:usb0="00000000" w:usb1="00000000" w:usb2="00000000" w:usb3="00000000" w:csb0="00000001" w:csb1="00000000"/>
  </w:font>
  <w:font w:name="Times New Roman (Headings CS)">
    <w:altName w:val="Times New Roman"/>
    <w:panose1 w:val="00000000000000000000"/>
    <w:charset w:val="00"/>
    <w:family w:val="roman"/>
    <w:pitch w:val="default"/>
    <w:sig w:usb0="00000000" w:usb1="00000000" w:usb2="00000000" w:usb3="00000000" w:csb0="00000001" w:csb1="00000000"/>
  </w:font>
  <w:font w:name="Frutiger LT Com 45 Light">
    <w:altName w:val="Arial"/>
    <w:panose1 w:val="00000000000000000000"/>
    <w:charset w:val="00"/>
    <w:family w:val="swiss"/>
    <w:pitch w:val="default"/>
    <w:sig w:usb0="00000000" w:usb1="00000000" w:usb2="00000000" w:usb3="00000000" w:csb0="00000001" w:csb1="00000000"/>
  </w:font>
  <w:font w:name="PingFang SC">
    <w:altName w:val="宋体"/>
    <w:panose1 w:val="00000000000000000000"/>
    <w:charset w:val="86"/>
    <w:family w:val="auto"/>
    <w:pitch w:val="default"/>
    <w:sig w:usb0="00000000" w:usb1="00000000" w:usb2="00000000" w:usb3="00000000" w:csb0="00160000"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CE8C2">
    <w:pPr>
      <w:spacing w:before="1" w:line="158" w:lineRule="auto"/>
      <w:rPr>
        <w:rFonts w:ascii="PingFang SC" w:eastAsia="PingFang SC" w:cs="PingFang SC"/>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842BE">
    <w:pPr>
      <w:spacing w:before="1" w:line="158" w:lineRule="auto"/>
      <w:rPr>
        <w:rFonts w:ascii="PingFang SC" w:eastAsia="PingFang SC" w:cs="PingFang SC"/>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5A7E4">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635</wp:posOffset>
              </wp:positionV>
              <wp:extent cx="509270" cy="1828800"/>
              <wp:effectExtent l="0" t="0" r="0" b="0"/>
              <wp:wrapNone/>
              <wp:docPr id="933915378" name="文本框 933915378"/>
              <wp:cNvGraphicFramePr/>
              <a:graphic xmlns:a="http://schemas.openxmlformats.org/drawingml/2006/main">
                <a:graphicData uri="http://schemas.microsoft.com/office/word/2010/wordprocessingShape">
                  <wps:wsp>
                    <wps:cNvSpPr txBox="1"/>
                    <wps:spPr>
                      <a:xfrm>
                        <a:off x="0" y="0"/>
                        <a:ext cx="50927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9F877">
                          <w:pPr>
                            <w:pStyle w:val="9"/>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05pt;height:144pt;width:40.1pt;mso-position-horizontal:outside;mso-position-horizontal-relative:margin;z-index:251659264;mso-width-relative:page;mso-height-relative:page;" filled="f" stroked="f" coordsize="21600,21600" o:gfxdata="UEsDBAoAAAAAAIdO4kAAAAAAAAAAAAAAAAAEAAAAZHJzL1BLAwQUAAAACACHTuJAfbIajNIAAAAE&#10;AQAADwAAAGRycy9kb3ducmV2LnhtbE2PMU/DMBCFdyT+g3VIbNROBhSFOB0q6AATKUIdr/ElDo3P&#10;UeymhV+PO8F479299121vrhRLDSHwbOGbKVAELfeDNxr+Ni9PBQgQkQ2OHomDd8UYF3f3lRYGn/m&#10;d1qa2IsUwqFEDTbGqZQytJYchpWfiJPX+dlhTOPcSzPjOYW7UeZKPUqHA6cGixNtLLXH5uQSxueb&#10;ctufzu7dK3ahsbtl+/yl9f1dpp5ARLrEv2W44qcbqBPTwZ/YBDFqSI/EqyqSV6gcxEFDXhQZyLqS&#10;/+HrX1BLAwQUAAAACACHTuJAFRx/ITsCAABmBAAADgAAAGRycy9lMm9Eb2MueG1srVTNbhMxEL4j&#10;8Q6W72Q3idomUTZVaFSEFNFKAXF2vN7sSv7DdrpbHgDegFMv3HmuPAefnT9UOPTAxZmdn29mvpnJ&#10;9LpTkjwI5xujC9rv5ZQIzU3Z6E1BP328fTOixAemSyaNFgV9FJ5ez16/mrZ2IgamNrIUjgBE+0lr&#10;C1qHYCdZ5nktFPM9Y4WGsTJOsYBPt8lKx1qgK5kN8vwya40rrTNceA/tYm+kB0T3EkBTVQ0XC8O3&#10;SuiwR3VCsoCWfN1YT2ep2qoSPNxVlReByIKi05BeJIG8jm82m7LJxjFbN/xQAntJCc96UqzRSHqC&#10;WrDAyNY1f0GphjvjTRV63Khs30hiBF3082fcrGpmReoFVHt7It3/P1j+4eHekaYs6Hg4HPcvhlcY&#10;v2YKg9/9+L57+rX7+Y2cTaCrtX6CqJVFXOjemg5LFGmMeg9lZKGrnIq/6I/ADrIfT2SLLhAO5UU+&#10;HlzBwmHqjwajUZ6mkZ2jrfPhnTCKRKGgDsNMHLOHpQ/ICNejS0ymzW0jZRqo1KQt6OXwIk8BJwsi&#10;pEbgudYohW7dHRpYm/IRfTmzXxRv+W2D5Evmwz1z2AwUjNsJd3gqaZDEHCRKauO+/ksf/TEwWClp&#10;sWkF9V+2zAlK5HuNUQIyHAV3FNZHQW/VjcHy9nGVlicRAS7Io1g5oz7jpOYxC0xMc+QqaDiKN2G/&#10;7zhJLubz5ITlsyws9cryCB3p83a+DaAwMRtp2XNxYAvrlwg/nErc7z+/k9f572H2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2yGozSAAAABAEAAA8AAAAAAAAAAQAgAAAAIgAAAGRycy9kb3ducmV2&#10;LnhtbFBLAQIUABQAAAAIAIdO4kAVHH8hOwIAAGYEAAAOAAAAAAAAAAEAIAAAACEBAABkcnMvZTJv&#10;RG9jLnhtbFBLBQYAAAAABgAGAFkBAADOBQAAAAA=&#10;">
              <v:fill on="f" focussize="0,0"/>
              <v:stroke on="f" weight="0.5pt"/>
              <v:imagedata o:title=""/>
              <o:lock v:ext="edit" aspectratio="f"/>
              <v:textbox inset="0mm,0mm,0mm,0mm" style="mso-fit-shape-to-text:t;">
                <w:txbxContent>
                  <w:p w14:paraId="5CA9F877">
                    <w:pPr>
                      <w:pStyle w:val="9"/>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2ADE01B7"/>
    <w:rsid w:val="000303AF"/>
    <w:rsid w:val="00060B34"/>
    <w:rsid w:val="000D42E7"/>
    <w:rsid w:val="001B5BFC"/>
    <w:rsid w:val="00205398"/>
    <w:rsid w:val="00327175"/>
    <w:rsid w:val="003E636C"/>
    <w:rsid w:val="004341F2"/>
    <w:rsid w:val="006411AE"/>
    <w:rsid w:val="006E5DB6"/>
    <w:rsid w:val="006F3E13"/>
    <w:rsid w:val="007171E0"/>
    <w:rsid w:val="00744D0C"/>
    <w:rsid w:val="007B0A73"/>
    <w:rsid w:val="00802816"/>
    <w:rsid w:val="009D0309"/>
    <w:rsid w:val="00A721A4"/>
    <w:rsid w:val="00A87997"/>
    <w:rsid w:val="00B039F3"/>
    <w:rsid w:val="00B07886"/>
    <w:rsid w:val="00B25EEB"/>
    <w:rsid w:val="00B71190"/>
    <w:rsid w:val="00C27A1B"/>
    <w:rsid w:val="00CE1F36"/>
    <w:rsid w:val="00E834E0"/>
    <w:rsid w:val="00FA3241"/>
    <w:rsid w:val="017905B2"/>
    <w:rsid w:val="02326659"/>
    <w:rsid w:val="039115A1"/>
    <w:rsid w:val="043839A9"/>
    <w:rsid w:val="05292C63"/>
    <w:rsid w:val="054A4CC1"/>
    <w:rsid w:val="07CA421C"/>
    <w:rsid w:val="08497E6E"/>
    <w:rsid w:val="096329E2"/>
    <w:rsid w:val="09F41380"/>
    <w:rsid w:val="0A690774"/>
    <w:rsid w:val="0AE738C5"/>
    <w:rsid w:val="0B9F345B"/>
    <w:rsid w:val="0CD22E44"/>
    <w:rsid w:val="0F74064E"/>
    <w:rsid w:val="0FD91EF8"/>
    <w:rsid w:val="106A3841"/>
    <w:rsid w:val="12550AE4"/>
    <w:rsid w:val="13D50C28"/>
    <w:rsid w:val="149D77E3"/>
    <w:rsid w:val="14D7756F"/>
    <w:rsid w:val="16AF0421"/>
    <w:rsid w:val="17964C9D"/>
    <w:rsid w:val="179F584E"/>
    <w:rsid w:val="18194181"/>
    <w:rsid w:val="1BCA14DE"/>
    <w:rsid w:val="1C2E5379"/>
    <w:rsid w:val="1E901223"/>
    <w:rsid w:val="1EE63407"/>
    <w:rsid w:val="1F68330A"/>
    <w:rsid w:val="208714A2"/>
    <w:rsid w:val="21F8041A"/>
    <w:rsid w:val="22E04EF3"/>
    <w:rsid w:val="24013923"/>
    <w:rsid w:val="24A0198D"/>
    <w:rsid w:val="24F61D27"/>
    <w:rsid w:val="27E26D38"/>
    <w:rsid w:val="28F13CA8"/>
    <w:rsid w:val="2ADE01B7"/>
    <w:rsid w:val="2CE07CB5"/>
    <w:rsid w:val="2E245565"/>
    <w:rsid w:val="2EAA5FF7"/>
    <w:rsid w:val="32F31268"/>
    <w:rsid w:val="338A2D2F"/>
    <w:rsid w:val="33F87FDC"/>
    <w:rsid w:val="35772530"/>
    <w:rsid w:val="35B9025E"/>
    <w:rsid w:val="36254ED9"/>
    <w:rsid w:val="37056A53"/>
    <w:rsid w:val="37213EC4"/>
    <w:rsid w:val="39055170"/>
    <w:rsid w:val="39922479"/>
    <w:rsid w:val="399576D7"/>
    <w:rsid w:val="399A353F"/>
    <w:rsid w:val="39F25A4B"/>
    <w:rsid w:val="3A2636DC"/>
    <w:rsid w:val="3A540249"/>
    <w:rsid w:val="3CE422C2"/>
    <w:rsid w:val="40DE50BE"/>
    <w:rsid w:val="418E6B2B"/>
    <w:rsid w:val="42B65E61"/>
    <w:rsid w:val="47946129"/>
    <w:rsid w:val="48BA7599"/>
    <w:rsid w:val="48D33FCE"/>
    <w:rsid w:val="4A5B6361"/>
    <w:rsid w:val="4F93316A"/>
    <w:rsid w:val="4FBF3F5F"/>
    <w:rsid w:val="50334005"/>
    <w:rsid w:val="51C62324"/>
    <w:rsid w:val="54181D6A"/>
    <w:rsid w:val="54720701"/>
    <w:rsid w:val="569C2932"/>
    <w:rsid w:val="57B9482C"/>
    <w:rsid w:val="5A1524A8"/>
    <w:rsid w:val="5B127639"/>
    <w:rsid w:val="5BA71B9B"/>
    <w:rsid w:val="5E393E9A"/>
    <w:rsid w:val="603D1996"/>
    <w:rsid w:val="608305FE"/>
    <w:rsid w:val="60CD61E0"/>
    <w:rsid w:val="610D69EB"/>
    <w:rsid w:val="61D50ED4"/>
    <w:rsid w:val="64487B25"/>
    <w:rsid w:val="64C0589D"/>
    <w:rsid w:val="652C0500"/>
    <w:rsid w:val="655E44ED"/>
    <w:rsid w:val="66D165FA"/>
    <w:rsid w:val="673C5715"/>
    <w:rsid w:val="697414BE"/>
    <w:rsid w:val="6A1573C6"/>
    <w:rsid w:val="6AE10DD5"/>
    <w:rsid w:val="6AF60FDA"/>
    <w:rsid w:val="6C154780"/>
    <w:rsid w:val="6EE96048"/>
    <w:rsid w:val="705D2CAC"/>
    <w:rsid w:val="730E66D5"/>
    <w:rsid w:val="73653B83"/>
    <w:rsid w:val="73724CC1"/>
    <w:rsid w:val="74220495"/>
    <w:rsid w:val="74EF0549"/>
    <w:rsid w:val="75F419BD"/>
    <w:rsid w:val="76EC1B47"/>
    <w:rsid w:val="777C4360"/>
    <w:rsid w:val="77874F46"/>
    <w:rsid w:val="77BA49FC"/>
    <w:rsid w:val="79403E93"/>
    <w:rsid w:val="79971FF1"/>
    <w:rsid w:val="7C6D7129"/>
    <w:rsid w:val="7DCC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240" w:lineRule="atLeast"/>
      <w:outlineLvl w:val="1"/>
    </w:pPr>
    <w:rPr>
      <w:rFonts w:eastAsia="仿宋" w:asciiTheme="majorHAnsi" w:hAnsiTheme="majorHAnsi" w:cstheme="majorBidi"/>
      <w:b/>
      <w:bCs/>
      <w:sz w:val="32"/>
      <w:szCs w:val="32"/>
    </w:rPr>
  </w:style>
  <w:style w:type="paragraph" w:styleId="3">
    <w:name w:val="heading 3"/>
    <w:basedOn w:val="1"/>
    <w:next w:val="1"/>
    <w:qFormat/>
    <w:uiPriority w:val="0"/>
    <w:pPr>
      <w:widowControl/>
      <w:tabs>
        <w:tab w:val="left" w:pos="1260"/>
      </w:tabs>
      <w:spacing w:after="80" w:line="256" w:lineRule="auto"/>
      <w:ind w:left="1004" w:hanging="720"/>
      <w:outlineLvl w:val="2"/>
    </w:pPr>
    <w:rPr>
      <w:rFonts w:ascii="微软雅黑" w:hAnsi="微软雅黑" w:eastAsia="微软雅黑" w:cs="微软雅黑"/>
      <w:b/>
      <w:color w:val="003764"/>
      <w:kern w:val="0"/>
      <w:sz w:val="22"/>
      <w:lang w:val="en-GB"/>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spacing w:after="120"/>
    </w:pPr>
  </w:style>
  <w:style w:type="paragraph" w:styleId="6">
    <w:name w:val="Body Text Indent"/>
    <w:basedOn w:val="1"/>
    <w:unhideWhenUsed/>
    <w:qFormat/>
    <w:uiPriority w:val="99"/>
    <w:pPr>
      <w:spacing w:after="120"/>
      <w:ind w:left="420" w:leftChars="200"/>
    </w:pPr>
  </w:style>
  <w:style w:type="paragraph" w:styleId="7">
    <w:name w:val="toc 3"/>
    <w:basedOn w:val="1"/>
    <w:next w:val="1"/>
    <w:qFormat/>
    <w:uiPriority w:val="39"/>
    <w:pPr>
      <w:ind w:left="840" w:leftChars="400"/>
    </w:pPr>
  </w:style>
  <w:style w:type="paragraph" w:styleId="8">
    <w:name w:val="Body Text Indent 2"/>
    <w:basedOn w:val="1"/>
    <w:qFormat/>
    <w:uiPriority w:val="99"/>
    <w:pPr>
      <w:spacing w:after="120" w:line="480" w:lineRule="auto"/>
      <w:ind w:left="420" w:leftChars="200"/>
    </w:pPr>
    <w:rPr>
      <w:rFonts w:ascii="Times New Roman" w:hAnsi="Times New Roman"/>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Title"/>
    <w:basedOn w:val="1"/>
    <w:next w:val="1"/>
    <w:qFormat/>
    <w:uiPriority w:val="0"/>
    <w:pPr>
      <w:widowControl/>
      <w:spacing w:line="560" w:lineRule="exact"/>
      <w:contextualSpacing/>
    </w:pPr>
    <w:rPr>
      <w:rFonts w:ascii="Inria Serif" w:hAnsi="Inria Serif" w:cs="Times New Roman (Headings CS)"/>
      <w:b/>
      <w:color w:val="0084AD"/>
      <w:spacing w:val="-10"/>
      <w:kern w:val="28"/>
      <w:sz w:val="50"/>
      <w:szCs w:val="56"/>
      <w:lang w:val="en-AU" w:eastAsia="en-US"/>
    </w:rPr>
  </w:style>
  <w:style w:type="paragraph" w:styleId="14">
    <w:name w:val="Body Text First Indent"/>
    <w:basedOn w:val="5"/>
    <w:qFormat/>
    <w:uiPriority w:val="0"/>
    <w:pPr>
      <w:ind w:firstLine="420" w:firstLineChars="100"/>
    </w:pPr>
    <w:rPr>
      <w:rFonts w:ascii="Times New Roman" w:hAnsi="Times New Roman"/>
    </w:rPr>
  </w:style>
  <w:style w:type="paragraph" w:styleId="15">
    <w:name w:val="Body Text First Indent 2"/>
    <w:basedOn w:val="6"/>
    <w:unhideWhenUsed/>
    <w:qFormat/>
    <w:uiPriority w:val="99"/>
    <w:pPr>
      <w:ind w:firstLine="420"/>
    </w:pPr>
    <w:rPr>
      <w:rFonts w:ascii="Times New Roman" w:hAnsi="Times New Roman"/>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styleId="20">
    <w:name w:val="annotation reference"/>
    <w:basedOn w:val="18"/>
    <w:qFormat/>
    <w:uiPriority w:val="0"/>
    <w:rPr>
      <w:sz w:val="21"/>
      <w:szCs w:val="21"/>
    </w:rPr>
  </w:style>
  <w:style w:type="paragraph" w:customStyle="1" w:styleId="21">
    <w:name w:val="正文-公1"/>
    <w:basedOn w:val="1"/>
    <w:qFormat/>
    <w:uiPriority w:val="99"/>
    <w:pPr>
      <w:ind w:firstLine="200" w:firstLineChars="200"/>
    </w:pPr>
  </w:style>
  <w:style w:type="paragraph" w:customStyle="1" w:styleId="22">
    <w:name w:val="Editable table text"/>
    <w:basedOn w:val="1"/>
    <w:qFormat/>
    <w:locked/>
    <w:uiPriority w:val="0"/>
    <w:pPr>
      <w:widowControl/>
    </w:pPr>
    <w:rPr>
      <w:rFonts w:ascii="Frutiger LT Com 45 Light" w:hAnsi="Frutiger LT Com 45 Light"/>
      <w:color w:val="62B5E5"/>
      <w:kern w:val="0"/>
      <w:sz w:val="20"/>
      <w:lang w:val="en-GB" w:eastAsia="en-US"/>
    </w:rPr>
  </w:style>
  <w:style w:type="paragraph" w:customStyle="1" w:styleId="23">
    <w:name w:val="Table Bullet"/>
    <w:basedOn w:val="1"/>
    <w:qFormat/>
    <w:uiPriority w:val="0"/>
    <w:pPr>
      <w:widowControl/>
      <w:tabs>
        <w:tab w:val="left" w:pos="720"/>
      </w:tabs>
      <w:spacing w:after="120"/>
      <w:ind w:left="284" w:hanging="284"/>
      <w:contextualSpacing/>
    </w:pPr>
    <w:rPr>
      <w:rFonts w:ascii="Frutiger LT Com 45 Light" w:hAnsi="Frutiger LT Com 45 Light"/>
      <w:kern w:val="0"/>
      <w:sz w:val="20"/>
      <w:szCs w:val="22"/>
      <w:lang w:val="en-GB" w:eastAsia="en-US"/>
    </w:rPr>
  </w:style>
  <w:style w:type="paragraph" w:styleId="24">
    <w:name w:val="List Paragraph"/>
    <w:basedOn w:val="1"/>
    <w:qFormat/>
    <w:uiPriority w:val="1"/>
    <w:pPr>
      <w:spacing w:before="139"/>
      <w:ind w:left="2388" w:hanging="420"/>
    </w:pPr>
    <w:rPr>
      <w:rFonts w:ascii="宋体" w:hAnsi="宋体" w:cs="宋体"/>
      <w:lang w:eastAsia="en-US"/>
    </w:rPr>
  </w:style>
  <w:style w:type="character" w:customStyle="1" w:styleId="25">
    <w:name w:val="Editable"/>
    <w:basedOn w:val="18"/>
    <w:qFormat/>
    <w:uiPriority w:val="0"/>
    <w:rPr>
      <w:rFonts w:hint="default" w:ascii="Times New Roman" w:hAnsi="Times New Roman" w:cs="Times New Roman"/>
      <w:color w:val="62B5E5"/>
    </w:rPr>
  </w:style>
  <w:style w:type="paragraph" w:customStyle="1" w:styleId="26">
    <w:name w:val="Table Text"/>
    <w:basedOn w:val="1"/>
    <w:semiHidden/>
    <w:qFormat/>
    <w:uiPriority w:val="99"/>
    <w:rPr>
      <w:rFonts w:ascii="PingFang SC" w:hAnsi="PingFang SC" w:eastAsia="PingFang SC" w:cs="PingFang SC"/>
      <w:sz w:val="24"/>
      <w:lang w:eastAsia="en-US"/>
    </w:rPr>
  </w:style>
  <w:style w:type="paragraph" w:customStyle="1" w:styleId="27">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3F1A5-A362-4CBF-B3F5-9468E717ECF5}">
  <ds:schemaRefs/>
</ds:datastoreItem>
</file>

<file path=docProps/app.xml><?xml version="1.0" encoding="utf-8"?>
<Properties xmlns="http://schemas.openxmlformats.org/officeDocument/2006/extended-properties" xmlns:vt="http://schemas.openxmlformats.org/officeDocument/2006/docPropsVTypes">
  <Template>Normal</Template>
  <Pages>19</Pages>
  <Words>3416</Words>
  <Characters>3522</Characters>
  <Lines>74</Lines>
  <Paragraphs>20</Paragraphs>
  <TotalTime>4</TotalTime>
  <ScaleCrop>false</ScaleCrop>
  <LinksUpToDate>false</LinksUpToDate>
  <CharactersWithSpaces>3625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2025-08-04T09:25:00Z</dcterms:created>
  <dc:creator>时应峰</dc:creator>
  <cp:lastModifiedBy>阿滴</cp:lastModifiedBy>
  <dcterms:modified xsi:type="dcterms:W3CDTF">2025-08-12T02:33:30Z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70253EFAADDE4D7AB21295461FC66678</vt:lpwstr>
  </property>
  <property fmtid="{D5CDD505-2E9C-101B-9397-08002B2CF9AE}" pid="4" name="KSOTemplateDocerSaveRecord">
    <vt:lpwstr>eyJoZGlkIjoiNjk1YzlmNDBmYTVmNWUzNjYwYTIzYmNiYTRlZmFmNDkiLCJ1c2VySWQiOiIxMDAzNzY5Mzc1In0=</vt:lpwstr>
  </property>
</Properties>
</file>